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52" w:lineRule="auto"/>
        <w:jc w:val="center"/>
      </w:pPr>
      <w:r>
        <w:rPr>
          <w:b/>
          <w:color w:val="1F4E79"/>
          <w:sz w:val="52"/>
        </w:rPr>
        <w:t>Lott Workforce Systems</w:t>
      </w:r>
    </w:p>
    <w:p>
      <w:pPr>
        <w:spacing w:line="252" w:lineRule="auto"/>
        <w:jc w:val="center"/>
      </w:pPr>
      <w:r>
        <w:rPr>
          <w:b/>
          <w:color w:val="2F5597"/>
          <w:sz w:val="40"/>
        </w:rPr>
        <w:t>Event Classification Decision Tree v1.1</w:t>
      </w:r>
    </w:p>
    <w:p>
      <w:pPr>
        <w:spacing w:line="252" w:lineRule="auto"/>
        <w:jc w:val="center"/>
      </w:pPr>
      <w:r>
        <w:rPr>
          <w:color w:val="505050"/>
          <w:sz w:val="24"/>
        </w:rPr>
        <w:t>Step 2 of 10: Workforce Reliability Operating Model Build</w:t>
      </w:r>
    </w:p>
    <w:p>
      <w:pPr>
        <w:spacing w:line="252" w:lineRule="auto"/>
        <w:jc w:val="center"/>
      </w:pPr>
      <w:r>
        <w:rPr>
          <w:color w:val="505050"/>
          <w:sz w:val="22"/>
        </w:rPr>
        <w:t>Prepared for: Jordan Lott, BSN, RN</w:t>
      </w:r>
    </w:p>
    <w:p>
      <w:pPr>
        <w:spacing w:line="252" w:lineRule="auto"/>
        <w:jc w:val="center"/>
      </w:pPr>
      <w:r>
        <w:rPr>
          <w:color w:val="646464"/>
          <w:sz w:val="20"/>
        </w:rPr>
        <w:t>Version 1.1 | September 2026 (amends v1.0: admission-volume tie-breaker; Secondary Factor field reference)</w:t>
      </w:r>
    </w:p>
    <w:p>
      <w:pPr>
        <w:spacing w:line="252" w:lineRule="auto"/>
      </w:pPr>
    </w:p>
    <w:tbl>
      <w:tblPr>
        <w:tblW w:type="auto" w:w="0"/>
        <w:jc w:val="center"/>
        <w:tblLook w:firstColumn="1" w:firstRow="1" w:lastColumn="0" w:lastRow="0" w:noHBand="0" w:noVBand="1" w:val="04A0"/>
        <w:tblBorders>
          <w:top w:val="single" w:sz="8" w:space="0" w:color="A9C4DA"/>
          <w:left w:val="single" w:sz="8" w:space="0" w:color="A9C4DA"/>
          <w:bottom w:val="single" w:sz="8" w:space="0" w:color="A9C4DA"/>
          <w:right w:val="single" w:sz="8" w:space="0" w:color="A9C4DA"/>
          <w:insideH w:val="single" w:sz="8" w:space="0" w:color="A9C4DA"/>
          <w:insideV w:val="single" w:sz="8" w:space="0" w:color="A9C4DA"/>
        </w:tblBorders>
      </w:tblPr>
      <w:tblGrid>
        <w:gridCol w:w="10368"/>
      </w:tblGrid>
      <w:tr>
        <w:tc>
          <w:tcPr>
            <w:tcW w:type="dxa" w:w="10368"/>
            <w:shd w:fill="EAF2F8"/>
            <w:vAlign w:val="center"/>
          </w:tcPr>
          <w:p>
            <w:r/>
            <w:r>
              <w:rPr>
                <w:b/>
                <w:sz w:val="20"/>
              </w:rPr>
              <w:t>Purpose: Standardize how charge nurses classify staffing instability events in real time so entries remain consistent across shifts, units, and future pilot sites.</w:t>
            </w:r>
          </w:p>
        </w:tc>
      </w:tr>
    </w:tbl>
    <w:p>
      <w:pPr>
        <w:spacing w:line="252" w:lineRule="auto"/>
      </w:pPr>
    </w:p>
    <w:p>
      <w:pPr>
        <w:spacing w:line="252" w:lineRule="auto"/>
        <w:jc w:val="center"/>
      </w:pPr>
      <w:r>
        <w:rPr>
          <w:i/>
          <w:color w:val="505050"/>
          <w:sz w:val="20"/>
        </w:rPr>
        <w:t>Operating rule: simple enough for a charge nurse, credible enough for a CNO, measurable enough for a DNP committee, and scalable enough for a company.</w:t>
      </w:r>
    </w:p>
    <w:p>
      <w:pPr>
        <w:spacing w:line="252" w:lineRule="auto"/>
      </w:pPr>
      <w:r>
        <w:br w:type="page"/>
      </w:r>
    </w:p>
    <w:p>
      <w:pPr>
        <w:pStyle w:val="Heading1"/>
      </w:pPr>
      <w:r>
        <w:t>1. Executive Use Statement</w:t>
      </w:r>
    </w:p>
    <w:p>
      <w:pPr>
        <w:spacing w:line="252" w:lineRule="auto"/>
      </w:pPr>
      <w:r>
        <w:t>The Event Classification Decision Tree converts real-time staffing instability into consistent operational categories. Its purpose is not to judge individual performance. Its purpose is to make unit-level instability visible, comparable, and measurable during active shifts.</w:t>
      </w:r>
    </w:p>
    <w:p>
      <w:pPr>
        <w:spacing w:line="252" w:lineRule="auto"/>
      </w:pPr>
      <w:r>
        <w:t>This decision tree should be used by the charge nurse or designated shift lead when entering an event into the Shift Response Reliability Log. The classification should take less than 10 seconds after the event is recognized.</w:t>
      </w:r>
    </w:p>
    <w:tbl>
      <w:tblPr>
        <w:tblStyle w:val="TableGrid"/>
        <w:tblW w:type="auto" w:w="0"/>
        <w:jc w:val="center"/>
        <w:tblLook w:firstColumn="1" w:firstRow="1" w:lastColumn="0" w:lastRow="0" w:noHBand="0" w:noVBand="1" w:val="04A0"/>
        <w:tblBorders>
          <w:top w:val="single" w:sz="8" w:space="0" w:color="D9E2EC"/>
          <w:left w:val="single" w:sz="8" w:space="0" w:color="D9E2EC"/>
          <w:bottom w:val="single" w:sz="8" w:space="0" w:color="D9E2EC"/>
          <w:right w:val="single" w:sz="8" w:space="0" w:color="D9E2EC"/>
          <w:insideH w:val="single" w:sz="8" w:space="0" w:color="D9E2EC"/>
          <w:insideV w:val="single" w:sz="8" w:space="0" w:color="D9E2EC"/>
        </w:tblBorders>
      </w:tblPr>
      <w:tblGrid>
        <w:gridCol w:w="5184"/>
        <w:gridCol w:w="5184"/>
      </w:tblGrid>
      <w:tr>
        <w:trPr>
          <w:tblHeader w:val="true"/>
          <w:cantSplit/>
        </w:trPr>
        <w:tc>
          <w:tcPr>
            <w:tcW w:type="dxa" w:w="2880"/>
            <w:shd w:fill="1F4E79"/>
            <w:vAlign w:val="center"/>
          </w:tcPr>
          <w:p>
            <w:r/>
            <w:r>
              <w:rPr>
                <w:b/>
                <w:color w:val="FFFFFF"/>
                <w:sz w:val="17"/>
              </w:rPr>
              <w:t>Design Requirement</w:t>
            </w:r>
          </w:p>
        </w:tc>
        <w:tc>
          <w:tcPr>
            <w:tcW w:type="dxa" w:w="6912"/>
            <w:shd w:fill="1F4E79"/>
            <w:vAlign w:val="center"/>
          </w:tcPr>
          <w:p>
            <w:r/>
            <w:r>
              <w:rPr>
                <w:b/>
                <w:color w:val="FFFFFF"/>
                <w:sz w:val="17"/>
              </w:rPr>
              <w:t>Operational Standard</w:t>
            </w:r>
          </w:p>
        </w:tc>
      </w:tr>
      <w:tr>
        <w:trPr>
          <w:cantSplit/>
        </w:trPr>
        <w:tc>
          <w:tcPr>
            <w:tcW w:type="dxa" w:w="2880"/>
            <w:vAlign w:val="center"/>
          </w:tcPr>
          <w:p>
            <w:r/>
            <w:r>
              <w:rPr>
                <w:b w:val="0"/>
                <w:sz w:val="16"/>
              </w:rPr>
              <w:t>Primary user</w:t>
            </w:r>
          </w:p>
        </w:tc>
        <w:tc>
          <w:tcPr>
            <w:tcW w:type="dxa" w:w="6912"/>
            <w:vAlign w:val="center"/>
          </w:tcPr>
          <w:p>
            <w:r/>
            <w:r>
              <w:rPr>
                <w:b w:val="0"/>
                <w:sz w:val="16"/>
              </w:rPr>
              <w:t>Charge nurse or designated shift lead</w:t>
            </w:r>
          </w:p>
        </w:tc>
      </w:tr>
      <w:tr>
        <w:trPr>
          <w:cantSplit/>
        </w:trPr>
        <w:tc>
          <w:tcPr>
            <w:tcW w:type="dxa" w:w="2880"/>
            <w:vAlign w:val="center"/>
          </w:tcPr>
          <w:p>
            <w:r/>
            <w:r>
              <w:rPr>
                <w:b w:val="0"/>
                <w:sz w:val="16"/>
              </w:rPr>
              <w:t>Classification time</w:t>
            </w:r>
          </w:p>
        </w:tc>
        <w:tc>
          <w:tcPr>
            <w:tcW w:type="dxa" w:w="6912"/>
            <w:vAlign w:val="center"/>
          </w:tcPr>
          <w:p>
            <w:r/>
            <w:r>
              <w:rPr>
                <w:b w:val="0"/>
                <w:sz w:val="16"/>
              </w:rPr>
              <w:t>10 seconds or less</w:t>
            </w:r>
          </w:p>
        </w:tc>
      </w:tr>
      <w:tr>
        <w:trPr>
          <w:cantSplit/>
        </w:trPr>
        <w:tc>
          <w:tcPr>
            <w:tcW w:type="dxa" w:w="2880"/>
            <w:vAlign w:val="center"/>
          </w:tcPr>
          <w:p>
            <w:r/>
            <w:r>
              <w:rPr>
                <w:b w:val="0"/>
                <w:sz w:val="16"/>
              </w:rPr>
              <w:t>Documentation burden</w:t>
            </w:r>
          </w:p>
        </w:tc>
        <w:tc>
          <w:tcPr>
            <w:tcW w:type="dxa" w:w="6912"/>
            <w:vAlign w:val="center"/>
          </w:tcPr>
          <w:p>
            <w:r/>
            <w:r>
              <w:rPr>
                <w:b w:val="0"/>
                <w:sz w:val="16"/>
              </w:rPr>
              <w:t>Under one minute for full event entry</w:t>
            </w:r>
          </w:p>
        </w:tc>
      </w:tr>
      <w:tr>
        <w:trPr>
          <w:cantSplit/>
        </w:trPr>
        <w:tc>
          <w:tcPr>
            <w:tcW w:type="dxa" w:w="2880"/>
            <w:vAlign w:val="center"/>
          </w:tcPr>
          <w:p>
            <w:r/>
            <w:r>
              <w:rPr>
                <w:b w:val="0"/>
                <w:sz w:val="16"/>
              </w:rPr>
              <w:t>Reporting level</w:t>
            </w:r>
          </w:p>
        </w:tc>
        <w:tc>
          <w:tcPr>
            <w:tcW w:type="dxa" w:w="6912"/>
            <w:vAlign w:val="center"/>
          </w:tcPr>
          <w:p>
            <w:r/>
            <w:r>
              <w:rPr>
                <w:b w:val="0"/>
                <w:sz w:val="16"/>
              </w:rPr>
              <w:t>Aggregate unit, shift, and system patterns only</w:t>
            </w:r>
          </w:p>
        </w:tc>
      </w:tr>
      <w:tr>
        <w:trPr>
          <w:cantSplit/>
        </w:trPr>
        <w:tc>
          <w:tcPr>
            <w:tcW w:type="dxa" w:w="2880"/>
            <w:vAlign w:val="center"/>
          </w:tcPr>
          <w:p>
            <w:r/>
            <w:r>
              <w:rPr>
                <w:b w:val="0"/>
                <w:sz w:val="16"/>
              </w:rPr>
              <w:t>Prohibited use</w:t>
            </w:r>
          </w:p>
        </w:tc>
        <w:tc>
          <w:tcPr>
            <w:tcW w:type="dxa" w:w="6912"/>
            <w:vAlign w:val="center"/>
          </w:tcPr>
          <w:p>
            <w:r/>
            <w:r>
              <w:rPr>
                <w:b w:val="0"/>
                <w:sz w:val="16"/>
              </w:rPr>
              <w:t>Individual nurse scoring, blame, discipline, or surveillance</w:t>
            </w:r>
          </w:p>
        </w:tc>
      </w:tr>
    </w:tbl>
    <w:p>
      <w:pPr>
        <w:pStyle w:val="Heading1"/>
      </w:pPr>
      <w:r>
        <w:t>2. First Decision Question</w:t>
      </w:r>
    </w:p>
    <w:p>
      <w:pPr>
        <w:spacing w:line="252" w:lineRule="auto"/>
      </w:pPr>
      <w:r>
        <w:t>Before choosing an event type, answer one threshold question:</w:t>
      </w:r>
    </w:p>
    <w:p>
      <w:pPr>
        <w:spacing w:line="252" w:lineRule="auto"/>
      </w:pPr>
      <w:r>
        <w:rPr>
          <w:b/>
        </w:rPr>
        <w:t>Did staffing, workload, patient flow, acuity, or resource availability create a situation that required escalation, redistribution, additional support, leadership awareness, or carryover?</w:t>
      </w:r>
    </w:p>
    <w:tbl>
      <w:tblPr>
        <w:tblStyle w:val="TableGrid"/>
        <w:tblW w:type="auto" w:w="0"/>
        <w:jc w:val="center"/>
        <w:tblLook w:firstColumn="1" w:firstRow="1" w:lastColumn="0" w:lastRow="0" w:noHBand="0" w:noVBand="1" w:val="04A0"/>
        <w:tblBorders>
          <w:top w:val="single" w:sz="8" w:space="0" w:color="D9E2EC"/>
          <w:left w:val="single" w:sz="8" w:space="0" w:color="D9E2EC"/>
          <w:bottom w:val="single" w:sz="8" w:space="0" w:color="D9E2EC"/>
          <w:right w:val="single" w:sz="8" w:space="0" w:color="D9E2EC"/>
          <w:insideH w:val="single" w:sz="8" w:space="0" w:color="D9E2EC"/>
          <w:insideV w:val="single" w:sz="8" w:space="0" w:color="D9E2EC"/>
        </w:tblBorders>
      </w:tblPr>
      <w:tblGrid>
        <w:gridCol w:w="5184"/>
        <w:gridCol w:w="5184"/>
      </w:tblGrid>
      <w:tr>
        <w:trPr>
          <w:tblHeader w:val="true"/>
          <w:cantSplit/>
        </w:trPr>
        <w:tc>
          <w:tcPr>
            <w:tcW w:type="dxa" w:w="1728"/>
            <w:shd w:fill="1F4E79"/>
            <w:vAlign w:val="center"/>
          </w:tcPr>
          <w:p>
            <w:r/>
            <w:r>
              <w:rPr>
                <w:b/>
                <w:color w:val="FFFFFF"/>
                <w:sz w:val="17"/>
              </w:rPr>
              <w:t>Answer</w:t>
            </w:r>
          </w:p>
        </w:tc>
        <w:tc>
          <w:tcPr>
            <w:tcW w:type="dxa" w:w="8064"/>
            <w:shd w:fill="1F4E79"/>
            <w:vAlign w:val="center"/>
          </w:tcPr>
          <w:p>
            <w:r/>
            <w:r>
              <w:rPr>
                <w:b/>
                <w:color w:val="FFFFFF"/>
                <w:sz w:val="17"/>
              </w:rPr>
              <w:t>Action</w:t>
            </w:r>
          </w:p>
        </w:tc>
      </w:tr>
      <w:tr>
        <w:trPr>
          <w:cantSplit/>
        </w:trPr>
        <w:tc>
          <w:tcPr>
            <w:tcW w:type="dxa" w:w="1728"/>
            <w:vAlign w:val="center"/>
          </w:tcPr>
          <w:p>
            <w:r/>
            <w:r>
              <w:rPr>
                <w:b w:val="0"/>
                <w:sz w:val="16"/>
              </w:rPr>
              <w:t>Yes</w:t>
            </w:r>
          </w:p>
        </w:tc>
        <w:tc>
          <w:tcPr>
            <w:tcW w:type="dxa" w:w="8064"/>
            <w:vAlign w:val="center"/>
          </w:tcPr>
          <w:p>
            <w:r/>
            <w:r>
              <w:rPr>
                <w:b w:val="0"/>
                <w:sz w:val="16"/>
              </w:rPr>
              <w:t>Log the event and classify the primary driver.</w:t>
            </w:r>
          </w:p>
        </w:tc>
      </w:tr>
      <w:tr>
        <w:trPr>
          <w:cantSplit/>
        </w:trPr>
        <w:tc>
          <w:tcPr>
            <w:tcW w:type="dxa" w:w="1728"/>
            <w:vAlign w:val="center"/>
          </w:tcPr>
          <w:p>
            <w:r/>
            <w:r>
              <w:rPr>
                <w:b w:val="0"/>
                <w:sz w:val="16"/>
              </w:rPr>
              <w:t>No</w:t>
            </w:r>
          </w:p>
        </w:tc>
        <w:tc>
          <w:tcPr>
            <w:tcW w:type="dxa" w:w="8064"/>
            <w:vAlign w:val="center"/>
          </w:tcPr>
          <w:p>
            <w:r/>
            <w:r>
              <w:rPr>
                <w:b w:val="0"/>
                <w:sz w:val="16"/>
              </w:rPr>
              <w:t>Do not log as a staffing instability event. Manage through routine charge nurse workflow.</w:t>
            </w:r>
          </w:p>
        </w:tc>
      </w:tr>
      <w:tr>
        <w:trPr>
          <w:cantSplit/>
        </w:trPr>
        <w:tc>
          <w:tcPr>
            <w:tcW w:type="dxa" w:w="1728"/>
            <w:vAlign w:val="center"/>
          </w:tcPr>
          <w:p>
            <w:r/>
            <w:r>
              <w:rPr>
                <w:b w:val="0"/>
                <w:sz w:val="16"/>
              </w:rPr>
              <w:t>Unclear</w:t>
            </w:r>
          </w:p>
        </w:tc>
        <w:tc>
          <w:tcPr>
            <w:tcW w:type="dxa" w:w="8064"/>
            <w:vAlign w:val="center"/>
          </w:tcPr>
          <w:p>
            <w:r/>
            <w:r>
              <w:rPr>
                <w:b w:val="0"/>
                <w:sz w:val="16"/>
              </w:rPr>
              <w:t>Log only if the issue required escalation, response tracking, or end-of-shift follow-up.</w:t>
            </w:r>
          </w:p>
        </w:tc>
      </w:tr>
    </w:tbl>
    <w:p>
      <w:pPr>
        <w:pStyle w:val="Heading1"/>
      </w:pPr>
      <w:r>
        <w:t>3. Event Classification Logic</w:t>
      </w:r>
    </w:p>
    <w:p>
      <w:pPr>
        <w:spacing w:line="252" w:lineRule="auto"/>
      </w:pPr>
      <w:r>
        <w:t>Select the primary driver of instability. If multiple issues are present, choose the factor that most directly triggered the need for escalation or action. Secondary factors should be captured in the Secondary Factor field (Event Summary as fallback for narrative context).</w:t>
      </w:r>
    </w:p>
    <w:tbl>
      <w:tblPr>
        <w:tblStyle w:val="TableGrid"/>
        <w:tblW w:type="auto" w:w="0"/>
        <w:jc w:val="center"/>
        <w:tblLook w:firstColumn="1" w:firstRow="1" w:lastColumn="0" w:lastRow="0" w:noHBand="0" w:noVBand="1" w:val="04A0"/>
        <w:tblBorders>
          <w:top w:val="single" w:sz="8" w:space="0" w:color="D9E2EC"/>
          <w:left w:val="single" w:sz="8" w:space="0" w:color="D9E2EC"/>
          <w:bottom w:val="single" w:sz="8" w:space="0" w:color="D9E2EC"/>
          <w:right w:val="single" w:sz="8" w:space="0" w:color="D9E2EC"/>
          <w:insideH w:val="single" w:sz="8" w:space="0" w:color="D9E2EC"/>
          <w:insideV w:val="single" w:sz="8" w:space="0" w:color="D9E2EC"/>
        </w:tblBorders>
      </w:tblPr>
      <w:tblGrid>
        <w:gridCol w:w="3456"/>
        <w:gridCol w:w="3456"/>
        <w:gridCol w:w="3456"/>
      </w:tblGrid>
      <w:tr>
        <w:trPr>
          <w:tblHeader w:val="true"/>
          <w:cantSplit/>
        </w:trPr>
        <w:tc>
          <w:tcPr>
            <w:tcW w:type="dxa" w:w="2592"/>
            <w:shd w:fill="1F4E79"/>
            <w:vAlign w:val="center"/>
          </w:tcPr>
          <w:p>
            <w:r/>
            <w:r>
              <w:rPr>
                <w:b/>
                <w:color w:val="FFFFFF"/>
                <w:sz w:val="17"/>
              </w:rPr>
              <w:t>Decision Point</w:t>
            </w:r>
          </w:p>
        </w:tc>
        <w:tc>
          <w:tcPr>
            <w:tcW w:type="dxa" w:w="4896"/>
            <w:shd w:fill="1F4E79"/>
            <w:vAlign w:val="center"/>
          </w:tcPr>
          <w:p>
            <w:r/>
            <w:r>
              <w:rPr>
                <w:b/>
                <w:color w:val="FFFFFF"/>
                <w:sz w:val="17"/>
              </w:rPr>
              <w:t>If YES</w:t>
            </w:r>
          </w:p>
        </w:tc>
        <w:tc>
          <w:tcPr>
            <w:tcW w:type="dxa" w:w="2304"/>
            <w:shd w:fill="1F4E79"/>
            <w:vAlign w:val="center"/>
          </w:tcPr>
          <w:p>
            <w:r/>
            <w:r>
              <w:rPr>
                <w:b/>
                <w:color w:val="FFFFFF"/>
                <w:sz w:val="17"/>
              </w:rPr>
              <w:t>Classify As</w:t>
            </w:r>
          </w:p>
        </w:tc>
      </w:tr>
      <w:tr>
        <w:trPr>
          <w:cantSplit/>
        </w:trPr>
        <w:tc>
          <w:tcPr>
            <w:tcW w:type="dxa" w:w="2592"/>
            <w:vAlign w:val="center"/>
          </w:tcPr>
          <w:p>
            <w:r/>
            <w:r>
              <w:rPr>
                <w:b w:val="0"/>
                <w:sz w:val="16"/>
              </w:rPr>
              <w:t>Did a planned or expected staff member become unavailable?</w:t>
            </w:r>
          </w:p>
        </w:tc>
        <w:tc>
          <w:tcPr>
            <w:tcW w:type="dxa" w:w="4896"/>
            <w:vAlign w:val="center"/>
          </w:tcPr>
          <w:p>
            <w:r/>
            <w:r>
              <w:rPr>
                <w:b w:val="0"/>
                <w:sz w:val="16"/>
              </w:rPr>
              <w:t>Call-off, early leave, sick staff, float pulled, uncovered opening</w:t>
            </w:r>
          </w:p>
        </w:tc>
        <w:tc>
          <w:tcPr>
            <w:tcW w:type="dxa" w:w="2304"/>
            <w:vAlign w:val="center"/>
          </w:tcPr>
          <w:p>
            <w:r/>
            <w:r>
              <w:rPr>
                <w:b w:val="0"/>
                <w:sz w:val="16"/>
              </w:rPr>
              <w:t>Staff Loss</w:t>
            </w:r>
          </w:p>
        </w:tc>
      </w:tr>
      <w:tr>
        <w:trPr>
          <w:cantSplit/>
        </w:trPr>
        <w:tc>
          <w:tcPr>
            <w:tcW w:type="dxa" w:w="2592"/>
            <w:vAlign w:val="center"/>
          </w:tcPr>
          <w:p>
            <w:r/>
            <w:r>
              <w:rPr>
                <w:b w:val="0"/>
                <w:sz w:val="16"/>
              </w:rPr>
              <w:t>Did available staff exist, but workload became uneven or unsafe across assignments?</w:t>
            </w:r>
          </w:p>
        </w:tc>
        <w:tc>
          <w:tcPr>
            <w:tcW w:type="dxa" w:w="4896"/>
            <w:vAlign w:val="center"/>
          </w:tcPr>
          <w:p>
            <w:r/>
            <w:r>
              <w:rPr>
                <w:b w:val="0"/>
                <w:sz w:val="16"/>
              </w:rPr>
              <w:t>One nurse carrying disproportionate patient volume, complexity, admissions, or care burden</w:t>
            </w:r>
          </w:p>
        </w:tc>
        <w:tc>
          <w:tcPr>
            <w:tcW w:type="dxa" w:w="2304"/>
            <w:vAlign w:val="center"/>
          </w:tcPr>
          <w:p>
            <w:r/>
            <w:r>
              <w:rPr>
                <w:b w:val="0"/>
                <w:sz w:val="16"/>
              </w:rPr>
              <w:t>Assignment Imbalance</w:t>
            </w:r>
          </w:p>
        </w:tc>
      </w:tr>
      <w:tr>
        <w:trPr>
          <w:cantSplit/>
        </w:trPr>
        <w:tc>
          <w:tcPr>
            <w:tcW w:type="dxa" w:w="2592"/>
            <w:vAlign w:val="center"/>
          </w:tcPr>
          <w:p>
            <w:r/>
            <w:r>
              <w:rPr>
                <w:b w:val="0"/>
                <w:sz w:val="16"/>
              </w:rPr>
              <w:t>Did existing patients suddenly require more time, monitoring, intervention, or surveillance?</w:t>
            </w:r>
          </w:p>
        </w:tc>
        <w:tc>
          <w:tcPr>
            <w:tcW w:type="dxa" w:w="4896"/>
            <w:vAlign w:val="center"/>
          </w:tcPr>
          <w:p>
            <w:r/>
            <w:r>
              <w:rPr>
                <w:b w:val="0"/>
                <w:sz w:val="16"/>
              </w:rPr>
              <w:t>Deterioration, confusion, fall risk, frequent reassessment, behavioral concern, complex care need</w:t>
            </w:r>
          </w:p>
        </w:tc>
        <w:tc>
          <w:tcPr>
            <w:tcW w:type="dxa" w:w="2304"/>
            <w:vAlign w:val="center"/>
          </w:tcPr>
          <w:p>
            <w:r/>
            <w:r>
              <w:rPr>
                <w:b w:val="0"/>
                <w:sz w:val="16"/>
              </w:rPr>
              <w:t>Acuity Spike</w:t>
            </w:r>
          </w:p>
        </w:tc>
      </w:tr>
      <w:tr>
        <w:trPr>
          <w:cantSplit/>
        </w:trPr>
        <w:tc>
          <w:tcPr>
            <w:tcW w:type="dxa" w:w="2592"/>
            <w:vAlign w:val="center"/>
          </w:tcPr>
          <w:p>
            <w:r/>
            <w:r>
              <w:rPr>
                <w:b w:val="0"/>
                <w:sz w:val="16"/>
              </w:rPr>
              <w:t>Did incoming admissions exceed the unit’s ability to absorb workload safely?</w:t>
            </w:r>
          </w:p>
        </w:tc>
        <w:tc>
          <w:tcPr>
            <w:tcW w:type="dxa" w:w="4896"/>
            <w:vAlign w:val="center"/>
          </w:tcPr>
          <w:p>
            <w:r/>
            <w:r>
              <w:rPr>
                <w:b w:val="0"/>
                <w:sz w:val="16"/>
              </w:rPr>
              <w:t>Multiple admissions close together, admission stacking, no nurse available to safely receive patient</w:t>
            </w:r>
          </w:p>
        </w:tc>
        <w:tc>
          <w:tcPr>
            <w:tcW w:type="dxa" w:w="2304"/>
            <w:vAlign w:val="center"/>
          </w:tcPr>
          <w:p>
            <w:r/>
            <w:r>
              <w:rPr>
                <w:b w:val="0"/>
                <w:sz w:val="16"/>
              </w:rPr>
              <w:t>Admission Surge</w:t>
            </w:r>
          </w:p>
        </w:tc>
      </w:tr>
      <w:tr>
        <w:trPr>
          <w:cantSplit/>
        </w:trPr>
        <w:tc>
          <w:tcPr>
            <w:tcW w:type="dxa" w:w="2592"/>
            <w:vAlign w:val="center"/>
          </w:tcPr>
          <w:p>
            <w:r/>
            <w:r>
              <w:rPr>
                <w:b w:val="0"/>
                <w:sz w:val="16"/>
              </w:rPr>
              <w:t>Did delayed discharge or transfer create workload, bed flow, or capacity pressure?</w:t>
            </w:r>
          </w:p>
        </w:tc>
        <w:tc>
          <w:tcPr>
            <w:tcW w:type="dxa" w:w="4896"/>
            <w:vAlign w:val="center"/>
          </w:tcPr>
          <w:p>
            <w:r/>
            <w:r>
              <w:rPr>
                <w:b w:val="0"/>
                <w:sz w:val="16"/>
              </w:rPr>
              <w:t>Transport delay, pending placement, delayed transfer, discharge workload blocking throughput</w:t>
            </w:r>
          </w:p>
        </w:tc>
        <w:tc>
          <w:tcPr>
            <w:tcW w:type="dxa" w:w="2304"/>
            <w:vAlign w:val="center"/>
          </w:tcPr>
          <w:p>
            <w:r/>
            <w:r>
              <w:rPr>
                <w:b w:val="0"/>
                <w:sz w:val="16"/>
              </w:rPr>
              <w:t>Discharge Delay</w:t>
            </w:r>
          </w:p>
        </w:tc>
      </w:tr>
      <w:tr>
        <w:trPr>
          <w:cantSplit/>
        </w:trPr>
        <w:tc>
          <w:tcPr>
            <w:tcW w:type="dxa" w:w="2592"/>
            <w:vAlign w:val="center"/>
          </w:tcPr>
          <w:p>
            <w:r/>
            <w:r>
              <w:rPr>
                <w:b w:val="0"/>
                <w:sz w:val="16"/>
              </w:rPr>
              <w:t>Was the issue caused by lack of support resources?</w:t>
            </w:r>
          </w:p>
        </w:tc>
        <w:tc>
          <w:tcPr>
            <w:tcW w:type="dxa" w:w="4896"/>
            <w:vAlign w:val="center"/>
          </w:tcPr>
          <w:p>
            <w:r/>
            <w:r>
              <w:rPr>
                <w:b w:val="0"/>
                <w:sz w:val="16"/>
              </w:rPr>
              <w:t>No PCT/CNA, sitter, break coverage, transport, equipment, float, or operational support</w:t>
            </w:r>
          </w:p>
        </w:tc>
        <w:tc>
          <w:tcPr>
            <w:tcW w:type="dxa" w:w="2304"/>
            <w:vAlign w:val="center"/>
          </w:tcPr>
          <w:p>
            <w:r/>
            <w:r>
              <w:rPr>
                <w:b w:val="0"/>
                <w:sz w:val="16"/>
              </w:rPr>
              <w:t>Resource Constraint</w:t>
            </w:r>
          </w:p>
        </w:tc>
      </w:tr>
      <w:tr>
        <w:trPr>
          <w:cantSplit/>
        </w:trPr>
        <w:tc>
          <w:tcPr>
            <w:tcW w:type="dxa" w:w="2592"/>
            <w:vAlign w:val="center"/>
          </w:tcPr>
          <w:p>
            <w:r/>
            <w:r>
              <w:rPr>
                <w:b w:val="0"/>
                <w:sz w:val="16"/>
              </w:rPr>
              <w:t>Did a patient care concern become harder to manage because staffing/workload limited timely response?</w:t>
            </w:r>
          </w:p>
        </w:tc>
        <w:tc>
          <w:tcPr>
            <w:tcW w:type="dxa" w:w="4896"/>
            <w:vAlign w:val="center"/>
          </w:tcPr>
          <w:p>
            <w:r/>
            <w:r>
              <w:rPr>
                <w:b w:val="0"/>
                <w:sz w:val="16"/>
              </w:rPr>
              <w:t>Delayed reassessment, delayed monitoring, repeated escalation, inability to respond safely</w:t>
            </w:r>
          </w:p>
        </w:tc>
        <w:tc>
          <w:tcPr>
            <w:tcW w:type="dxa" w:w="2304"/>
            <w:vAlign w:val="center"/>
          </w:tcPr>
          <w:p>
            <w:r/>
            <w:r>
              <w:rPr>
                <w:b w:val="0"/>
                <w:sz w:val="16"/>
              </w:rPr>
              <w:t>Clinical Escalation Tied to Staffing</w:t>
            </w:r>
          </w:p>
        </w:tc>
      </w:tr>
      <w:tr>
        <w:trPr>
          <w:cantSplit/>
        </w:trPr>
        <w:tc>
          <w:tcPr>
            <w:tcW w:type="dxa" w:w="2592"/>
            <w:vAlign w:val="center"/>
          </w:tcPr>
          <w:p>
            <w:r/>
            <w:r>
              <w:rPr>
                <w:b w:val="0"/>
                <w:sz w:val="16"/>
              </w:rPr>
              <w:t>Does none of the above apply?</w:t>
            </w:r>
          </w:p>
        </w:tc>
        <w:tc>
          <w:tcPr>
            <w:tcW w:type="dxa" w:w="4896"/>
            <w:vAlign w:val="center"/>
          </w:tcPr>
          <w:p>
            <w:r/>
            <w:r>
              <w:rPr>
                <w:b w:val="0"/>
                <w:sz w:val="16"/>
              </w:rPr>
              <w:t>Unique operational disruption requiring explanation</w:t>
            </w:r>
          </w:p>
        </w:tc>
        <w:tc>
          <w:tcPr>
            <w:tcW w:type="dxa" w:w="2304"/>
            <w:vAlign w:val="center"/>
          </w:tcPr>
          <w:p>
            <w:r/>
            <w:r>
              <w:rPr>
                <w:b w:val="0"/>
                <w:sz w:val="16"/>
              </w:rPr>
              <w:t>Other</w:t>
            </w:r>
          </w:p>
        </w:tc>
      </w:tr>
    </w:tbl>
    <w:p>
      <w:pPr>
        <w:pStyle w:val="Heading1"/>
      </w:pPr>
      <w:r>
        <w:t>4. One-Page Charge Nurse Algorithm</w:t>
      </w:r>
    </w:p>
    <w:p>
      <w:pPr>
        <w:spacing w:line="252" w:lineRule="auto"/>
      </w:pPr>
      <w:r>
        <w:t>Use this sequence during real-time event entry:</w:t>
      </w:r>
    </w:p>
    <w:tbl>
      <w:tblPr>
        <w:tblStyle w:val="TableGrid"/>
        <w:tblW w:type="auto" w:w="0"/>
        <w:jc w:val="center"/>
        <w:tblLook w:firstColumn="1" w:firstRow="1" w:lastColumn="0" w:lastRow="0" w:noHBand="0" w:noVBand="1" w:val="04A0"/>
        <w:tblBorders>
          <w:top w:val="single" w:sz="8" w:space="0" w:color="D9E2EC"/>
          <w:left w:val="single" w:sz="8" w:space="0" w:color="D9E2EC"/>
          <w:bottom w:val="single" w:sz="8" w:space="0" w:color="D9E2EC"/>
          <w:right w:val="single" w:sz="8" w:space="0" w:color="D9E2EC"/>
          <w:insideH w:val="single" w:sz="8" w:space="0" w:color="D9E2EC"/>
          <w:insideV w:val="single" w:sz="8" w:space="0" w:color="D9E2EC"/>
        </w:tblBorders>
      </w:tblPr>
      <w:tblGrid>
        <w:gridCol w:w="3456"/>
        <w:gridCol w:w="3456"/>
        <w:gridCol w:w="3456"/>
      </w:tblGrid>
      <w:tr>
        <w:trPr>
          <w:tblHeader w:val="true"/>
          <w:cantSplit/>
        </w:trPr>
        <w:tc>
          <w:tcPr>
            <w:tcW w:type="dxa" w:w="720"/>
            <w:shd w:fill="1F4E79"/>
            <w:vAlign w:val="center"/>
          </w:tcPr>
          <w:p>
            <w:r/>
            <w:r>
              <w:rPr>
                <w:b/>
                <w:color w:val="FFFFFF"/>
                <w:sz w:val="17"/>
              </w:rPr>
              <w:t>Step</w:t>
            </w:r>
          </w:p>
        </w:tc>
        <w:tc>
          <w:tcPr>
            <w:tcW w:type="dxa" w:w="3888"/>
            <w:shd w:fill="1F4E79"/>
            <w:vAlign w:val="center"/>
          </w:tcPr>
          <w:p>
            <w:r/>
            <w:r>
              <w:rPr>
                <w:b/>
                <w:color w:val="FFFFFF"/>
                <w:sz w:val="17"/>
              </w:rPr>
              <w:t>Question</w:t>
            </w:r>
          </w:p>
        </w:tc>
        <w:tc>
          <w:tcPr>
            <w:tcW w:type="dxa" w:w="5184"/>
            <w:shd w:fill="1F4E79"/>
            <w:vAlign w:val="center"/>
          </w:tcPr>
          <w:p>
            <w:r/>
            <w:r>
              <w:rPr>
                <w:b/>
                <w:color w:val="FFFFFF"/>
                <w:sz w:val="17"/>
              </w:rPr>
              <w:t>Action</w:t>
            </w:r>
          </w:p>
        </w:tc>
      </w:tr>
      <w:tr>
        <w:trPr>
          <w:cantSplit/>
        </w:trPr>
        <w:tc>
          <w:tcPr>
            <w:tcW w:type="dxa" w:w="720"/>
            <w:vAlign w:val="center"/>
          </w:tcPr>
          <w:p>
            <w:r/>
            <w:r>
              <w:rPr>
                <w:b w:val="0"/>
                <w:sz w:val="16"/>
              </w:rPr>
              <w:t>1</w:t>
            </w:r>
          </w:p>
        </w:tc>
        <w:tc>
          <w:tcPr>
            <w:tcW w:type="dxa" w:w="3888"/>
            <w:vAlign w:val="center"/>
          </w:tcPr>
          <w:p>
            <w:r/>
            <w:r>
              <w:rPr>
                <w:b w:val="0"/>
                <w:sz w:val="16"/>
              </w:rPr>
              <w:t>Is this routine busyness or true instability?</w:t>
            </w:r>
          </w:p>
        </w:tc>
        <w:tc>
          <w:tcPr>
            <w:tcW w:type="dxa" w:w="5184"/>
            <w:vAlign w:val="center"/>
          </w:tcPr>
          <w:p>
            <w:r/>
            <w:r>
              <w:rPr>
                <w:b w:val="0"/>
                <w:sz w:val="16"/>
              </w:rPr>
              <w:t>Log only if escalation, redistribution, support, leadership awareness, or carryover is needed.</w:t>
            </w:r>
          </w:p>
        </w:tc>
      </w:tr>
      <w:tr>
        <w:trPr>
          <w:cantSplit/>
        </w:trPr>
        <w:tc>
          <w:tcPr>
            <w:tcW w:type="dxa" w:w="720"/>
            <w:vAlign w:val="center"/>
          </w:tcPr>
          <w:p>
            <w:r/>
            <w:r>
              <w:rPr>
                <w:b w:val="0"/>
                <w:sz w:val="16"/>
              </w:rPr>
              <w:t>2</w:t>
            </w:r>
          </w:p>
        </w:tc>
        <w:tc>
          <w:tcPr>
            <w:tcW w:type="dxa" w:w="3888"/>
            <w:vAlign w:val="center"/>
          </w:tcPr>
          <w:p>
            <w:r/>
            <w:r>
              <w:rPr>
                <w:b w:val="0"/>
                <w:sz w:val="16"/>
              </w:rPr>
              <w:t>What triggered the instability first?</w:t>
            </w:r>
          </w:p>
        </w:tc>
        <w:tc>
          <w:tcPr>
            <w:tcW w:type="dxa" w:w="5184"/>
            <w:vAlign w:val="center"/>
          </w:tcPr>
          <w:p>
            <w:r/>
            <w:r>
              <w:rPr>
                <w:b w:val="0"/>
                <w:sz w:val="16"/>
              </w:rPr>
              <w:t>Select the primary Event Type.</w:t>
            </w:r>
          </w:p>
        </w:tc>
      </w:tr>
      <w:tr>
        <w:trPr>
          <w:cantSplit/>
        </w:trPr>
        <w:tc>
          <w:tcPr>
            <w:tcW w:type="dxa" w:w="720"/>
            <w:vAlign w:val="center"/>
          </w:tcPr>
          <w:p>
            <w:r/>
            <w:r>
              <w:rPr>
                <w:b w:val="0"/>
                <w:sz w:val="16"/>
              </w:rPr>
              <w:t>3</w:t>
            </w:r>
          </w:p>
        </w:tc>
        <w:tc>
          <w:tcPr>
            <w:tcW w:type="dxa" w:w="3888"/>
            <w:vAlign w:val="center"/>
          </w:tcPr>
          <w:p>
            <w:r/>
            <w:r>
              <w:rPr>
                <w:b w:val="0"/>
                <w:sz w:val="16"/>
              </w:rPr>
              <w:t>Is there no available nurse, backup, break coverage, sitter, PCT/CNA, or manageable workload capacity?</w:t>
            </w:r>
          </w:p>
        </w:tc>
        <w:tc>
          <w:tcPr>
            <w:tcW w:type="dxa" w:w="5184"/>
            <w:vAlign w:val="center"/>
          </w:tcPr>
          <w:p>
            <w:r/>
            <w:r>
              <w:rPr>
                <w:b w:val="0"/>
                <w:sz w:val="16"/>
              </w:rPr>
              <w:t>Mark Coverage Gap = Yes.</w:t>
            </w:r>
          </w:p>
        </w:tc>
      </w:tr>
      <w:tr>
        <w:trPr>
          <w:cantSplit/>
        </w:trPr>
        <w:tc>
          <w:tcPr>
            <w:tcW w:type="dxa" w:w="720"/>
            <w:vAlign w:val="center"/>
          </w:tcPr>
          <w:p>
            <w:r/>
            <w:r>
              <w:rPr>
                <w:b w:val="0"/>
                <w:sz w:val="16"/>
              </w:rPr>
              <w:t>4</w:t>
            </w:r>
          </w:p>
        </w:tc>
        <w:tc>
          <w:tcPr>
            <w:tcW w:type="dxa" w:w="3888"/>
            <w:vAlign w:val="center"/>
          </w:tcPr>
          <w:p>
            <w:r/>
            <w:r>
              <w:rPr>
                <w:b w:val="0"/>
                <w:sz w:val="16"/>
              </w:rPr>
              <w:t>Can the charge nurse or immediate team contain this?</w:t>
            </w:r>
          </w:p>
        </w:tc>
        <w:tc>
          <w:tcPr>
            <w:tcW w:type="dxa" w:w="5184"/>
            <w:vAlign w:val="center"/>
          </w:tcPr>
          <w:p>
            <w:r/>
            <w:r>
              <w:rPr>
                <w:b w:val="0"/>
                <w:sz w:val="16"/>
              </w:rPr>
              <w:t>If yes, Level 1.</w:t>
            </w:r>
          </w:p>
        </w:tc>
      </w:tr>
      <w:tr>
        <w:trPr>
          <w:cantSplit/>
        </w:trPr>
        <w:tc>
          <w:tcPr>
            <w:tcW w:type="dxa" w:w="720"/>
            <w:vAlign w:val="center"/>
          </w:tcPr>
          <w:p>
            <w:r/>
            <w:r>
              <w:rPr>
                <w:b w:val="0"/>
                <w:sz w:val="16"/>
              </w:rPr>
              <w:t>5</w:t>
            </w:r>
          </w:p>
        </w:tc>
        <w:tc>
          <w:tcPr>
            <w:tcW w:type="dxa" w:w="3888"/>
            <w:vAlign w:val="center"/>
          </w:tcPr>
          <w:p>
            <w:r/>
            <w:r>
              <w:rPr>
                <w:b w:val="0"/>
                <w:sz w:val="16"/>
              </w:rPr>
              <w:t>Does this require house supervisor, staffing office, or leadership awareness?</w:t>
            </w:r>
          </w:p>
        </w:tc>
        <w:tc>
          <w:tcPr>
            <w:tcW w:type="dxa" w:w="5184"/>
            <w:vAlign w:val="center"/>
          </w:tcPr>
          <w:p>
            <w:r/>
            <w:r>
              <w:rPr>
                <w:b w:val="0"/>
                <w:sz w:val="16"/>
              </w:rPr>
              <w:t>If yes, Level 2.</w:t>
            </w:r>
          </w:p>
        </w:tc>
      </w:tr>
      <w:tr>
        <w:trPr>
          <w:cantSplit/>
        </w:trPr>
        <w:tc>
          <w:tcPr>
            <w:tcW w:type="dxa" w:w="720"/>
            <w:vAlign w:val="center"/>
          </w:tcPr>
          <w:p>
            <w:r/>
            <w:r>
              <w:rPr>
                <w:b w:val="0"/>
                <w:sz w:val="16"/>
              </w:rPr>
              <w:t>6</w:t>
            </w:r>
          </w:p>
        </w:tc>
        <w:tc>
          <w:tcPr>
            <w:tcW w:type="dxa" w:w="3888"/>
            <w:vAlign w:val="center"/>
          </w:tcPr>
          <w:p>
            <w:r/>
            <w:r>
              <w:rPr>
                <w:b w:val="0"/>
                <w:sz w:val="16"/>
              </w:rPr>
              <w:t>Is patient safety, capacity, delayed care, or inability to accept/monitor patients at risk?</w:t>
            </w:r>
          </w:p>
        </w:tc>
        <w:tc>
          <w:tcPr>
            <w:tcW w:type="dxa" w:w="5184"/>
            <w:vAlign w:val="center"/>
          </w:tcPr>
          <w:p>
            <w:r/>
            <w:r>
              <w:rPr>
                <w:b w:val="0"/>
                <w:sz w:val="16"/>
              </w:rPr>
              <w:t>If yes, Level 3.</w:t>
            </w:r>
          </w:p>
        </w:tc>
      </w:tr>
      <w:tr>
        <w:trPr>
          <w:cantSplit/>
        </w:trPr>
        <w:tc>
          <w:tcPr>
            <w:tcW w:type="dxa" w:w="720"/>
            <w:vAlign w:val="center"/>
          </w:tcPr>
          <w:p>
            <w:r/>
            <w:r>
              <w:rPr>
                <w:b w:val="0"/>
                <w:sz w:val="16"/>
              </w:rPr>
              <w:t>7</w:t>
            </w:r>
          </w:p>
        </w:tc>
        <w:tc>
          <w:tcPr>
            <w:tcW w:type="dxa" w:w="3888"/>
            <w:vAlign w:val="center"/>
          </w:tcPr>
          <w:p>
            <w:r/>
            <w:r>
              <w:rPr>
                <w:b w:val="0"/>
                <w:sz w:val="16"/>
              </w:rPr>
              <w:t>Was the issue acknowledged, acted on, and stabilized?</w:t>
            </w:r>
          </w:p>
        </w:tc>
        <w:tc>
          <w:tcPr>
            <w:tcW w:type="dxa" w:w="5184"/>
            <w:vAlign w:val="center"/>
          </w:tcPr>
          <w:p>
            <w:r/>
            <w:r>
              <w:rPr>
                <w:b w:val="0"/>
                <w:sz w:val="16"/>
              </w:rPr>
              <w:t>Complete response and resolution fields.</w:t>
            </w:r>
          </w:p>
        </w:tc>
      </w:tr>
    </w:tbl>
    <w:p>
      <w:pPr>
        <w:pStyle w:val="Heading1"/>
      </w:pPr>
      <w:r>
        <w:t>5. Event Type Matrix</w:t>
      </w:r>
    </w:p>
    <w:tbl>
      <w:tblPr>
        <w:tblStyle w:val="TableGrid"/>
        <w:tblW w:type="auto" w:w="0"/>
        <w:jc w:val="center"/>
        <w:tblLook w:firstColumn="1" w:firstRow="1" w:lastColumn="0" w:lastRow="0" w:noHBand="0" w:noVBand="1" w:val="04A0"/>
        <w:tblBorders>
          <w:top w:val="single" w:sz="8" w:space="0" w:color="D9E2EC"/>
          <w:left w:val="single" w:sz="8" w:space="0" w:color="D9E2EC"/>
          <w:bottom w:val="single" w:sz="8" w:space="0" w:color="D9E2EC"/>
          <w:right w:val="single" w:sz="8" w:space="0" w:color="D9E2EC"/>
          <w:insideH w:val="single" w:sz="8" w:space="0" w:color="D9E2EC"/>
          <w:insideV w:val="single" w:sz="8" w:space="0" w:color="D9E2EC"/>
        </w:tblBorders>
      </w:tblPr>
      <w:tblGrid>
        <w:gridCol w:w="2592"/>
        <w:gridCol w:w="2592"/>
        <w:gridCol w:w="2592"/>
        <w:gridCol w:w="2592"/>
      </w:tblGrid>
      <w:tr>
        <w:trPr>
          <w:tblHeader w:val="true"/>
          <w:cantSplit/>
        </w:trPr>
        <w:tc>
          <w:tcPr>
            <w:tcW w:type="dxa" w:w="1800"/>
            <w:shd w:fill="1F4E79"/>
            <w:vAlign w:val="center"/>
          </w:tcPr>
          <w:p>
            <w:r/>
            <w:r>
              <w:rPr>
                <w:b/>
                <w:color w:val="FFFFFF"/>
                <w:sz w:val="17"/>
              </w:rPr>
              <w:t>Event Type</w:t>
            </w:r>
          </w:p>
        </w:tc>
        <w:tc>
          <w:tcPr>
            <w:tcW w:type="dxa" w:w="2880"/>
            <w:shd w:fill="1F4E79"/>
            <w:vAlign w:val="center"/>
          </w:tcPr>
          <w:p>
            <w:r/>
            <w:r>
              <w:rPr>
                <w:b/>
                <w:color w:val="FFFFFF"/>
                <w:sz w:val="17"/>
              </w:rPr>
              <w:t>Plain Definition</w:t>
            </w:r>
          </w:p>
        </w:tc>
        <w:tc>
          <w:tcPr>
            <w:tcW w:type="dxa" w:w="2880"/>
            <w:shd w:fill="1F4E79"/>
            <w:vAlign w:val="center"/>
          </w:tcPr>
          <w:p>
            <w:r/>
            <w:r>
              <w:rPr>
                <w:b/>
                <w:color w:val="FFFFFF"/>
                <w:sz w:val="17"/>
              </w:rPr>
              <w:t>Examples</w:t>
            </w:r>
          </w:p>
        </w:tc>
        <w:tc>
          <w:tcPr>
            <w:tcW w:type="dxa" w:w="2232"/>
            <w:shd w:fill="1F4E79"/>
            <w:vAlign w:val="center"/>
          </w:tcPr>
          <w:p>
            <w:r/>
            <w:r>
              <w:rPr>
                <w:b/>
                <w:color w:val="FFFFFF"/>
                <w:sz w:val="17"/>
              </w:rPr>
              <w:t>Do Not Use When</w:t>
            </w:r>
          </w:p>
        </w:tc>
      </w:tr>
      <w:tr>
        <w:trPr>
          <w:cantSplit/>
        </w:trPr>
        <w:tc>
          <w:tcPr>
            <w:tcW w:type="dxa" w:w="1800"/>
            <w:vAlign w:val="center"/>
          </w:tcPr>
          <w:p>
            <w:r/>
            <w:r>
              <w:rPr>
                <w:b w:val="0"/>
                <w:sz w:val="16"/>
              </w:rPr>
              <w:t>Staff Loss</w:t>
            </w:r>
          </w:p>
        </w:tc>
        <w:tc>
          <w:tcPr>
            <w:tcW w:type="dxa" w:w="2880"/>
            <w:vAlign w:val="center"/>
          </w:tcPr>
          <w:p>
            <w:r/>
            <w:r>
              <w:rPr>
                <w:b w:val="0"/>
                <w:sz w:val="16"/>
              </w:rPr>
              <w:t>A planned staff resource is lost or unavailable.</w:t>
            </w:r>
          </w:p>
        </w:tc>
        <w:tc>
          <w:tcPr>
            <w:tcW w:type="dxa" w:w="2880"/>
            <w:vAlign w:val="center"/>
          </w:tcPr>
          <w:p>
            <w:r/>
            <w:r>
              <w:rPr>
                <w:b w:val="0"/>
                <w:sz w:val="16"/>
              </w:rPr>
              <w:t>Call-off; early leave; float pulled; open shift uncovered.</w:t>
            </w:r>
          </w:p>
        </w:tc>
        <w:tc>
          <w:tcPr>
            <w:tcW w:type="dxa" w:w="2232"/>
            <w:vAlign w:val="center"/>
          </w:tcPr>
          <w:p>
            <w:r/>
            <w:r>
              <w:rPr>
                <w:b w:val="0"/>
                <w:sz w:val="16"/>
              </w:rPr>
              <w:t>Do not use for chronic baseline understaffing unless it creates an active shift event.</w:t>
            </w:r>
          </w:p>
        </w:tc>
      </w:tr>
      <w:tr>
        <w:trPr>
          <w:cantSplit/>
        </w:trPr>
        <w:tc>
          <w:tcPr>
            <w:tcW w:type="dxa" w:w="1800"/>
            <w:vAlign w:val="center"/>
          </w:tcPr>
          <w:p>
            <w:r/>
            <w:r>
              <w:rPr>
                <w:b w:val="0"/>
                <w:sz w:val="16"/>
              </w:rPr>
              <w:t>Assignment Imbalance</w:t>
            </w:r>
          </w:p>
        </w:tc>
        <w:tc>
          <w:tcPr>
            <w:tcW w:type="dxa" w:w="2880"/>
            <w:vAlign w:val="center"/>
          </w:tcPr>
          <w:p>
            <w:r/>
            <w:r>
              <w:rPr>
                <w:b w:val="0"/>
                <w:sz w:val="16"/>
              </w:rPr>
              <w:t>Current staff are present, but workload distribution is uneven or unsafe.</w:t>
            </w:r>
          </w:p>
        </w:tc>
        <w:tc>
          <w:tcPr>
            <w:tcW w:type="dxa" w:w="2880"/>
            <w:vAlign w:val="center"/>
          </w:tcPr>
          <w:p>
            <w:r/>
            <w:r>
              <w:rPr>
                <w:b w:val="0"/>
                <w:sz w:val="16"/>
              </w:rPr>
              <w:t>One nurse receives multiple admissions; high-complexity patients clustered in one assignment.</w:t>
            </w:r>
          </w:p>
        </w:tc>
        <w:tc>
          <w:tcPr>
            <w:tcW w:type="dxa" w:w="2232"/>
            <w:vAlign w:val="center"/>
          </w:tcPr>
          <w:p>
            <w:r/>
            <w:r>
              <w:rPr>
                <w:b w:val="0"/>
                <w:sz w:val="16"/>
              </w:rPr>
              <w:t>Do not use for normal variation that does not require intervention.</w:t>
            </w:r>
          </w:p>
        </w:tc>
      </w:tr>
      <w:tr>
        <w:trPr>
          <w:cantSplit/>
        </w:trPr>
        <w:tc>
          <w:tcPr>
            <w:tcW w:type="dxa" w:w="1800"/>
            <w:vAlign w:val="center"/>
          </w:tcPr>
          <w:p>
            <w:r/>
            <w:r>
              <w:rPr>
                <w:b w:val="0"/>
                <w:sz w:val="16"/>
              </w:rPr>
              <w:t>Acuity Spike</w:t>
            </w:r>
          </w:p>
        </w:tc>
        <w:tc>
          <w:tcPr>
            <w:tcW w:type="dxa" w:w="2880"/>
            <w:vAlign w:val="center"/>
          </w:tcPr>
          <w:p>
            <w:r/>
            <w:r>
              <w:rPr>
                <w:b w:val="0"/>
                <w:sz w:val="16"/>
              </w:rPr>
              <w:t>Existing patients require unexpected additional time, surveillance, or intervention.</w:t>
            </w:r>
          </w:p>
        </w:tc>
        <w:tc>
          <w:tcPr>
            <w:tcW w:type="dxa" w:w="2880"/>
            <w:vAlign w:val="center"/>
          </w:tcPr>
          <w:p>
            <w:r/>
            <w:r>
              <w:rPr>
                <w:b w:val="0"/>
                <w:sz w:val="16"/>
              </w:rPr>
              <w:t>New confusion; fall risk; respiratory concern; frequent reassessment.</w:t>
            </w:r>
          </w:p>
        </w:tc>
        <w:tc>
          <w:tcPr>
            <w:tcW w:type="dxa" w:w="2232"/>
            <w:vAlign w:val="center"/>
          </w:tcPr>
          <w:p>
            <w:r/>
            <w:r>
              <w:rPr>
                <w:b w:val="0"/>
                <w:sz w:val="16"/>
              </w:rPr>
              <w:t>Do not use for expected baseline acuity already accounted for.</w:t>
            </w:r>
          </w:p>
        </w:tc>
      </w:tr>
      <w:tr>
        <w:trPr>
          <w:cantSplit/>
        </w:trPr>
        <w:tc>
          <w:tcPr>
            <w:tcW w:type="dxa" w:w="1800"/>
            <w:vAlign w:val="center"/>
          </w:tcPr>
          <w:p>
            <w:r/>
            <w:r>
              <w:rPr>
                <w:b w:val="0"/>
                <w:sz w:val="16"/>
              </w:rPr>
              <w:t>Admission Surge</w:t>
            </w:r>
          </w:p>
        </w:tc>
        <w:tc>
          <w:tcPr>
            <w:tcW w:type="dxa" w:w="2880"/>
            <w:vAlign w:val="center"/>
          </w:tcPr>
          <w:p>
            <w:r/>
            <w:r>
              <w:rPr>
                <w:b w:val="0"/>
                <w:sz w:val="16"/>
              </w:rPr>
              <w:t>Incoming volume exceeds the unit’s safe absorption capacity.</w:t>
            </w:r>
          </w:p>
        </w:tc>
        <w:tc>
          <w:tcPr>
            <w:tcW w:type="dxa" w:w="2880"/>
            <w:vAlign w:val="center"/>
          </w:tcPr>
          <w:p>
            <w:r/>
            <w:r>
              <w:rPr>
                <w:b w:val="0"/>
                <w:sz w:val="16"/>
              </w:rPr>
              <w:t>Three admissions within one hour; no nurse available for new patient.</w:t>
            </w:r>
          </w:p>
        </w:tc>
        <w:tc>
          <w:tcPr>
            <w:tcW w:type="dxa" w:w="2232"/>
            <w:vAlign w:val="center"/>
          </w:tcPr>
          <w:p>
            <w:r/>
            <w:r>
              <w:rPr>
                <w:b w:val="0"/>
                <w:sz w:val="16"/>
              </w:rPr>
              <w:t>Do not use for one routine admission that does not destabilize workflow.</w:t>
            </w:r>
          </w:p>
        </w:tc>
      </w:tr>
      <w:tr>
        <w:trPr>
          <w:cantSplit/>
        </w:trPr>
        <w:tc>
          <w:tcPr>
            <w:tcW w:type="dxa" w:w="1800"/>
            <w:vAlign w:val="center"/>
          </w:tcPr>
          <w:p>
            <w:r/>
            <w:r>
              <w:rPr>
                <w:b w:val="0"/>
                <w:sz w:val="16"/>
              </w:rPr>
              <w:t>Discharge Delay</w:t>
            </w:r>
          </w:p>
        </w:tc>
        <w:tc>
          <w:tcPr>
            <w:tcW w:type="dxa" w:w="2880"/>
            <w:vAlign w:val="center"/>
          </w:tcPr>
          <w:p>
            <w:r/>
            <w:r>
              <w:rPr>
                <w:b w:val="0"/>
                <w:sz w:val="16"/>
              </w:rPr>
              <w:t>Delayed discharge or transfer creates workload or capacity pressure.</w:t>
            </w:r>
          </w:p>
        </w:tc>
        <w:tc>
          <w:tcPr>
            <w:tcW w:type="dxa" w:w="2880"/>
            <w:vAlign w:val="center"/>
          </w:tcPr>
          <w:p>
            <w:r/>
            <w:r>
              <w:rPr>
                <w:b w:val="0"/>
                <w:sz w:val="16"/>
              </w:rPr>
              <w:t>Transport delay; placement delay; transfer delay blocks bed flow.</w:t>
            </w:r>
          </w:p>
        </w:tc>
        <w:tc>
          <w:tcPr>
            <w:tcW w:type="dxa" w:w="2232"/>
            <w:vAlign w:val="center"/>
          </w:tcPr>
          <w:p>
            <w:r/>
            <w:r>
              <w:rPr>
                <w:b w:val="0"/>
                <w:sz w:val="16"/>
              </w:rPr>
              <w:t>Do not use for routine discharge workload.</w:t>
            </w:r>
          </w:p>
        </w:tc>
      </w:tr>
      <w:tr>
        <w:trPr>
          <w:cantSplit/>
        </w:trPr>
        <w:tc>
          <w:tcPr>
            <w:tcW w:type="dxa" w:w="1800"/>
            <w:vAlign w:val="center"/>
          </w:tcPr>
          <w:p>
            <w:r/>
            <w:r>
              <w:rPr>
                <w:b w:val="0"/>
                <w:sz w:val="16"/>
              </w:rPr>
              <w:t>Resource Constraint</w:t>
            </w:r>
          </w:p>
        </w:tc>
        <w:tc>
          <w:tcPr>
            <w:tcW w:type="dxa" w:w="2880"/>
            <w:vAlign w:val="center"/>
          </w:tcPr>
          <w:p>
            <w:r/>
            <w:r>
              <w:rPr>
                <w:b w:val="0"/>
                <w:sz w:val="16"/>
              </w:rPr>
              <w:t>A needed support resource is unavailable.</w:t>
            </w:r>
          </w:p>
        </w:tc>
        <w:tc>
          <w:tcPr>
            <w:tcW w:type="dxa" w:w="2880"/>
            <w:vAlign w:val="center"/>
          </w:tcPr>
          <w:p>
            <w:r/>
            <w:r>
              <w:rPr>
                <w:b w:val="0"/>
                <w:sz w:val="16"/>
              </w:rPr>
              <w:t>No PCT/CNA, sitter, break nurse, transport, equipment, float, or operational support.</w:t>
            </w:r>
          </w:p>
        </w:tc>
        <w:tc>
          <w:tcPr>
            <w:tcW w:type="dxa" w:w="2232"/>
            <w:vAlign w:val="center"/>
          </w:tcPr>
          <w:p>
            <w:r/>
            <w:r>
              <w:rPr>
                <w:b w:val="0"/>
                <w:sz w:val="16"/>
              </w:rPr>
              <w:t>Do not use for minor inconvenience without workload impact.</w:t>
            </w:r>
          </w:p>
        </w:tc>
      </w:tr>
      <w:tr>
        <w:trPr>
          <w:cantSplit/>
        </w:trPr>
        <w:tc>
          <w:tcPr>
            <w:tcW w:type="dxa" w:w="1800"/>
            <w:vAlign w:val="center"/>
          </w:tcPr>
          <w:p>
            <w:r/>
            <w:r>
              <w:rPr>
                <w:b w:val="0"/>
                <w:sz w:val="16"/>
              </w:rPr>
              <w:t>Clinical Escalation Tied to Staffing</w:t>
            </w:r>
          </w:p>
        </w:tc>
        <w:tc>
          <w:tcPr>
            <w:tcW w:type="dxa" w:w="2880"/>
            <w:vAlign w:val="center"/>
          </w:tcPr>
          <w:p>
            <w:r/>
            <w:r>
              <w:rPr>
                <w:b w:val="0"/>
                <w:sz w:val="16"/>
              </w:rPr>
              <w:t>Staffing instability affects timely clinical response, reassessment, monitoring, or escalation.</w:t>
            </w:r>
          </w:p>
        </w:tc>
        <w:tc>
          <w:tcPr>
            <w:tcW w:type="dxa" w:w="2880"/>
            <w:vAlign w:val="center"/>
          </w:tcPr>
          <w:p>
            <w:r/>
            <w:r>
              <w:rPr>
                <w:b w:val="0"/>
                <w:sz w:val="16"/>
              </w:rPr>
              <w:t>Patient deterioration while nurse is overloaded; repeated escalation due to response delay.</w:t>
            </w:r>
          </w:p>
        </w:tc>
        <w:tc>
          <w:tcPr>
            <w:tcW w:type="dxa" w:w="2232"/>
            <w:vAlign w:val="center"/>
          </w:tcPr>
          <w:p>
            <w:r/>
            <w:r>
              <w:rPr>
                <w:b w:val="0"/>
                <w:sz w:val="16"/>
              </w:rPr>
              <w:t>Do not use for clinical deterioration unrelated to staffing or workload.</w:t>
            </w:r>
          </w:p>
        </w:tc>
      </w:tr>
      <w:tr>
        <w:trPr>
          <w:cantSplit/>
        </w:trPr>
        <w:tc>
          <w:tcPr>
            <w:tcW w:type="dxa" w:w="1800"/>
            <w:vAlign w:val="center"/>
          </w:tcPr>
          <w:p>
            <w:r/>
            <w:r>
              <w:rPr>
                <w:b w:val="0"/>
                <w:sz w:val="16"/>
              </w:rPr>
              <w:t>Other</w:t>
            </w:r>
          </w:p>
        </w:tc>
        <w:tc>
          <w:tcPr>
            <w:tcW w:type="dxa" w:w="2880"/>
            <w:vAlign w:val="center"/>
          </w:tcPr>
          <w:p>
            <w:r/>
            <w:r>
              <w:rPr>
                <w:b w:val="0"/>
                <w:sz w:val="16"/>
              </w:rPr>
              <w:t>The event does not fit the locked categories.</w:t>
            </w:r>
          </w:p>
        </w:tc>
        <w:tc>
          <w:tcPr>
            <w:tcW w:type="dxa" w:w="2880"/>
            <w:vAlign w:val="center"/>
          </w:tcPr>
          <w:p>
            <w:r/>
            <w:r>
              <w:rPr>
                <w:b w:val="0"/>
                <w:sz w:val="16"/>
              </w:rPr>
              <w:t>Environmental disruption; unit-specific issue.</w:t>
            </w:r>
          </w:p>
        </w:tc>
        <w:tc>
          <w:tcPr>
            <w:tcW w:type="dxa" w:w="2232"/>
            <w:vAlign w:val="center"/>
          </w:tcPr>
          <w:p>
            <w:r/>
            <w:r>
              <w:rPr>
                <w:b w:val="0"/>
                <w:sz w:val="16"/>
              </w:rPr>
              <w:t>Requires brief explanation; review if more than 10% of events.</w:t>
            </w:r>
          </w:p>
        </w:tc>
      </w:tr>
    </w:tbl>
    <w:p>
      <w:pPr>
        <w:pStyle w:val="Heading1"/>
      </w:pPr>
      <w:r>
        <w:t>6. Escalation Level Decision Tree</w:t>
      </w:r>
    </w:p>
    <w:p>
      <w:pPr>
        <w:spacing w:line="252" w:lineRule="auto"/>
      </w:pPr>
      <w:r>
        <w:t>After selecting the event type, assign the severity level based on the operational response required.</w:t>
      </w:r>
    </w:p>
    <w:tbl>
      <w:tblPr>
        <w:tblStyle w:val="TableGrid"/>
        <w:tblW w:type="auto" w:w="0"/>
        <w:jc w:val="center"/>
        <w:tblLook w:firstColumn="1" w:firstRow="1" w:lastColumn="0" w:lastRow="0" w:noHBand="0" w:noVBand="1" w:val="04A0"/>
        <w:tblBorders>
          <w:top w:val="single" w:sz="8" w:space="0" w:color="D9E2EC"/>
          <w:left w:val="single" w:sz="8" w:space="0" w:color="D9E2EC"/>
          <w:bottom w:val="single" w:sz="8" w:space="0" w:color="D9E2EC"/>
          <w:right w:val="single" w:sz="8" w:space="0" w:color="D9E2EC"/>
          <w:insideH w:val="single" w:sz="8" w:space="0" w:color="D9E2EC"/>
          <w:insideV w:val="single" w:sz="8" w:space="0" w:color="D9E2EC"/>
        </w:tblBorders>
      </w:tblPr>
      <w:tblGrid>
        <w:gridCol w:w="2592"/>
        <w:gridCol w:w="2592"/>
        <w:gridCol w:w="2592"/>
        <w:gridCol w:w="2592"/>
      </w:tblGrid>
      <w:tr>
        <w:trPr>
          <w:tblHeader w:val="true"/>
          <w:cantSplit/>
        </w:trPr>
        <w:tc>
          <w:tcPr>
            <w:tcW w:type="dxa" w:w="1656"/>
            <w:shd w:fill="1F4E79"/>
            <w:vAlign w:val="center"/>
          </w:tcPr>
          <w:p>
            <w:r/>
            <w:r>
              <w:rPr>
                <w:b/>
                <w:color w:val="FFFFFF"/>
                <w:sz w:val="17"/>
              </w:rPr>
              <w:t>Level</w:t>
            </w:r>
          </w:p>
        </w:tc>
        <w:tc>
          <w:tcPr>
            <w:tcW w:type="dxa" w:w="2952"/>
            <w:shd w:fill="1F4E79"/>
            <w:vAlign w:val="center"/>
          </w:tcPr>
          <w:p>
            <w:r/>
            <w:r>
              <w:rPr>
                <w:b/>
                <w:color w:val="FFFFFF"/>
                <w:sz w:val="17"/>
              </w:rPr>
              <w:t>Decision Rule</w:t>
            </w:r>
          </w:p>
        </w:tc>
        <w:tc>
          <w:tcPr>
            <w:tcW w:type="dxa" w:w="3240"/>
            <w:shd w:fill="1F4E79"/>
            <w:vAlign w:val="center"/>
          </w:tcPr>
          <w:p>
            <w:r/>
            <w:r>
              <w:rPr>
                <w:b/>
                <w:color w:val="FFFFFF"/>
                <w:sz w:val="17"/>
              </w:rPr>
              <w:t>Examples</w:t>
            </w:r>
          </w:p>
        </w:tc>
        <w:tc>
          <w:tcPr>
            <w:tcW w:type="dxa" w:w="2232"/>
            <w:shd w:fill="1F4E79"/>
            <w:vAlign w:val="center"/>
          </w:tcPr>
          <w:p>
            <w:r/>
            <w:r>
              <w:rPr>
                <w:b/>
                <w:color w:val="FFFFFF"/>
                <w:sz w:val="17"/>
              </w:rPr>
              <w:t>Expected Response</w:t>
            </w:r>
          </w:p>
        </w:tc>
      </w:tr>
      <w:tr>
        <w:trPr>
          <w:cantSplit/>
        </w:trPr>
        <w:tc>
          <w:tcPr>
            <w:tcW w:type="dxa" w:w="1656"/>
            <w:vAlign w:val="center"/>
          </w:tcPr>
          <w:p>
            <w:r/>
            <w:r>
              <w:rPr>
                <w:b w:val="0"/>
                <w:sz w:val="16"/>
              </w:rPr>
              <w:t>Level 1 - Monitor</w:t>
            </w:r>
          </w:p>
        </w:tc>
        <w:tc>
          <w:tcPr>
            <w:tcW w:type="dxa" w:w="2952"/>
            <w:vAlign w:val="center"/>
          </w:tcPr>
          <w:p>
            <w:r/>
            <w:r>
              <w:rPr>
                <w:b w:val="0"/>
                <w:sz w:val="16"/>
              </w:rPr>
              <w:t>The issue is real but likely unit-contained.</w:t>
            </w:r>
          </w:p>
        </w:tc>
        <w:tc>
          <w:tcPr>
            <w:tcW w:type="dxa" w:w="3240"/>
            <w:vAlign w:val="center"/>
          </w:tcPr>
          <w:p>
            <w:r/>
            <w:r>
              <w:rPr>
                <w:b w:val="0"/>
                <w:sz w:val="16"/>
              </w:rPr>
              <w:t>Mild assignment imbalance; temporary break coverage issue; one expected admission creating pressure.</w:t>
            </w:r>
          </w:p>
        </w:tc>
        <w:tc>
          <w:tcPr>
            <w:tcW w:type="dxa" w:w="2232"/>
            <w:vAlign w:val="center"/>
          </w:tcPr>
          <w:p>
            <w:r/>
            <w:r>
              <w:rPr>
                <w:b w:val="0"/>
                <w:sz w:val="16"/>
              </w:rPr>
              <w:t>Charge nurse awareness, monitoring, and documentation if needed.</w:t>
            </w:r>
          </w:p>
        </w:tc>
      </w:tr>
      <w:tr>
        <w:trPr>
          <w:cantSplit/>
        </w:trPr>
        <w:tc>
          <w:tcPr>
            <w:tcW w:type="dxa" w:w="1656"/>
            <w:vAlign w:val="center"/>
          </w:tcPr>
          <w:p>
            <w:r/>
            <w:r>
              <w:rPr>
                <w:b w:val="0"/>
                <w:sz w:val="16"/>
              </w:rPr>
              <w:t>Level 2 - Active Instability</w:t>
            </w:r>
          </w:p>
        </w:tc>
        <w:tc>
          <w:tcPr>
            <w:tcW w:type="dxa" w:w="2952"/>
            <w:vAlign w:val="center"/>
          </w:tcPr>
          <w:p>
            <w:r/>
            <w:r>
              <w:rPr>
                <w:b w:val="0"/>
                <w:sz w:val="16"/>
              </w:rPr>
              <w:t>The issue requires intervention, redistribution, or leadership awareness.</w:t>
            </w:r>
          </w:p>
        </w:tc>
        <w:tc>
          <w:tcPr>
            <w:tcW w:type="dxa" w:w="3240"/>
            <w:vAlign w:val="center"/>
          </w:tcPr>
          <w:p>
            <w:r/>
            <w:r>
              <w:rPr>
                <w:b w:val="0"/>
                <w:sz w:val="16"/>
              </w:rPr>
              <w:t>Call-off with no replacement; multiple admissions; acuity spike; no PCT support; repeated break failure.</w:t>
            </w:r>
          </w:p>
        </w:tc>
        <w:tc>
          <w:tcPr>
            <w:tcW w:type="dxa" w:w="2232"/>
            <w:vAlign w:val="center"/>
          </w:tcPr>
          <w:p>
            <w:r/>
            <w:r>
              <w:rPr>
                <w:b w:val="0"/>
                <w:sz w:val="16"/>
              </w:rPr>
              <w:t>Escalate, document acknowledgment, and initiate an action plan.</w:t>
            </w:r>
          </w:p>
        </w:tc>
      </w:tr>
      <w:tr>
        <w:trPr>
          <w:cantSplit/>
        </w:trPr>
        <w:tc>
          <w:tcPr>
            <w:tcW w:type="dxa" w:w="1656"/>
            <w:vAlign w:val="center"/>
          </w:tcPr>
          <w:p>
            <w:r/>
            <w:r>
              <w:rPr>
                <w:b w:val="0"/>
                <w:sz w:val="16"/>
              </w:rPr>
              <w:t>Level 3 - High-Risk Instability</w:t>
            </w:r>
          </w:p>
        </w:tc>
        <w:tc>
          <w:tcPr>
            <w:tcW w:type="dxa" w:w="2952"/>
            <w:vAlign w:val="center"/>
          </w:tcPr>
          <w:p>
            <w:r/>
            <w:r>
              <w:rPr>
                <w:b w:val="0"/>
                <w:sz w:val="16"/>
              </w:rPr>
              <w:t>The issue creates patient safety risk, delayed care, inability to maintain basic unit function, or unresolved repeated escalation.</w:t>
            </w:r>
          </w:p>
        </w:tc>
        <w:tc>
          <w:tcPr>
            <w:tcW w:type="dxa" w:w="3240"/>
            <w:vAlign w:val="center"/>
          </w:tcPr>
          <w:p>
            <w:r/>
            <w:r>
              <w:rPr>
                <w:b w:val="0"/>
                <w:sz w:val="16"/>
              </w:rPr>
              <w:t>No nurse available for admission; delayed response to deterioration due to workload; unsafe workload; repeated unresolved concern.</w:t>
            </w:r>
          </w:p>
        </w:tc>
        <w:tc>
          <w:tcPr>
            <w:tcW w:type="dxa" w:w="2232"/>
            <w:vAlign w:val="center"/>
          </w:tcPr>
          <w:p>
            <w:r/>
            <w:r>
              <w:rPr>
                <w:b w:val="0"/>
                <w:sz w:val="16"/>
              </w:rPr>
              <w:t>Immediate leadership awareness, rapid action, and end-of-shift review.</w:t>
            </w:r>
          </w:p>
        </w:tc>
      </w:tr>
    </w:tbl>
    <w:p>
      <w:pPr>
        <w:pStyle w:val="Heading1"/>
      </w:pPr>
      <w:r>
        <w:t>7. Coverage Gap Decision Rule</w:t>
      </w:r>
    </w:p>
    <w:p>
      <w:pPr>
        <w:spacing w:line="252" w:lineRule="auto"/>
      </w:pPr>
      <w:r>
        <w:t>Coverage Gap should be marked Yes only when the unit lacks adequate staff or support capacity to safely absorb the workload demand.</w:t>
      </w:r>
    </w:p>
    <w:tbl>
      <w:tblPr>
        <w:tblStyle w:val="TableGrid"/>
        <w:tblW w:type="auto" w:w="0"/>
        <w:jc w:val="center"/>
        <w:tblLook w:firstColumn="1" w:firstRow="1" w:lastColumn="0" w:lastRow="0" w:noHBand="0" w:noVBand="1" w:val="04A0"/>
        <w:tblBorders>
          <w:top w:val="single" w:sz="8" w:space="0" w:color="D9E2EC"/>
          <w:left w:val="single" w:sz="8" w:space="0" w:color="D9E2EC"/>
          <w:bottom w:val="single" w:sz="8" w:space="0" w:color="D9E2EC"/>
          <w:right w:val="single" w:sz="8" w:space="0" w:color="D9E2EC"/>
          <w:insideH w:val="single" w:sz="8" w:space="0" w:color="D9E2EC"/>
          <w:insideV w:val="single" w:sz="8" w:space="0" w:color="D9E2EC"/>
        </w:tblBorders>
      </w:tblPr>
      <w:tblGrid>
        <w:gridCol w:w="5184"/>
        <w:gridCol w:w="5184"/>
      </w:tblGrid>
      <w:tr>
        <w:trPr>
          <w:tblHeader w:val="true"/>
          <w:cantSplit/>
        </w:trPr>
        <w:tc>
          <w:tcPr>
            <w:tcW w:type="dxa" w:w="4824"/>
            <w:shd w:fill="1F4E79"/>
            <w:vAlign w:val="center"/>
          </w:tcPr>
          <w:p>
            <w:r/>
            <w:r>
              <w:rPr>
                <w:b/>
                <w:color w:val="FFFFFF"/>
                <w:sz w:val="17"/>
              </w:rPr>
              <w:t>Mark Coverage Gap = YES</w:t>
            </w:r>
          </w:p>
        </w:tc>
        <w:tc>
          <w:tcPr>
            <w:tcW w:type="dxa" w:w="4824"/>
            <w:shd w:fill="1F4E79"/>
            <w:vAlign w:val="center"/>
          </w:tcPr>
          <w:p>
            <w:r/>
            <w:r>
              <w:rPr>
                <w:b/>
                <w:color w:val="FFFFFF"/>
                <w:sz w:val="17"/>
              </w:rPr>
              <w:t>Mark Coverage Gap = NO</w:t>
            </w:r>
          </w:p>
        </w:tc>
      </w:tr>
      <w:tr>
        <w:trPr>
          <w:cantSplit/>
        </w:trPr>
        <w:tc>
          <w:tcPr>
            <w:tcW w:type="dxa" w:w="4824"/>
            <w:vAlign w:val="center"/>
          </w:tcPr>
          <w:p>
            <w:r/>
            <w:r>
              <w:rPr>
                <w:b w:val="0"/>
                <w:sz w:val="16"/>
              </w:rPr>
              <w:t>No nurse available for added patients.</w:t>
            </w:r>
          </w:p>
        </w:tc>
        <w:tc>
          <w:tcPr>
            <w:tcW w:type="dxa" w:w="4824"/>
            <w:vAlign w:val="center"/>
          </w:tcPr>
          <w:p>
            <w:r/>
            <w:r>
              <w:rPr>
                <w:b w:val="0"/>
                <w:sz w:val="16"/>
              </w:rPr>
              <w:t>Workload increased but remains manageable.</w:t>
            </w:r>
          </w:p>
        </w:tc>
      </w:tr>
      <w:tr>
        <w:trPr>
          <w:cantSplit/>
        </w:trPr>
        <w:tc>
          <w:tcPr>
            <w:tcW w:type="dxa" w:w="4824"/>
            <w:vAlign w:val="center"/>
          </w:tcPr>
          <w:p>
            <w:r/>
            <w:r>
              <w:rPr>
                <w:b w:val="0"/>
                <w:sz w:val="16"/>
              </w:rPr>
              <w:t>No backup, float, break nurse, or support available.</w:t>
            </w:r>
          </w:p>
        </w:tc>
        <w:tc>
          <w:tcPr>
            <w:tcW w:type="dxa" w:w="4824"/>
            <w:vAlign w:val="center"/>
          </w:tcPr>
          <w:p>
            <w:r/>
            <w:r>
              <w:rPr>
                <w:b w:val="0"/>
                <w:sz w:val="16"/>
              </w:rPr>
              <w:t>Concern was resolved without actual coverage deficit.</w:t>
            </w:r>
          </w:p>
        </w:tc>
      </w:tr>
      <w:tr>
        <w:trPr>
          <w:cantSplit/>
        </w:trPr>
        <w:tc>
          <w:tcPr>
            <w:tcW w:type="dxa" w:w="4824"/>
            <w:vAlign w:val="center"/>
          </w:tcPr>
          <w:p>
            <w:r/>
            <w:r>
              <w:rPr>
                <w:b w:val="0"/>
                <w:sz w:val="16"/>
              </w:rPr>
              <w:t>No PCT/CNA or sitter when needed.</w:t>
            </w:r>
          </w:p>
        </w:tc>
        <w:tc>
          <w:tcPr>
            <w:tcW w:type="dxa" w:w="4824"/>
            <w:vAlign w:val="center"/>
          </w:tcPr>
          <w:p>
            <w:r/>
            <w:r>
              <w:rPr>
                <w:b w:val="0"/>
                <w:sz w:val="16"/>
              </w:rPr>
              <w:t>A resource was delayed but did not affect workload or care timing.</w:t>
            </w:r>
          </w:p>
        </w:tc>
      </w:tr>
      <w:tr>
        <w:trPr>
          <w:cantSplit/>
        </w:trPr>
        <w:tc>
          <w:tcPr>
            <w:tcW w:type="dxa" w:w="4824"/>
            <w:vAlign w:val="center"/>
          </w:tcPr>
          <w:p>
            <w:r/>
            <w:r>
              <w:rPr>
                <w:b w:val="0"/>
                <w:sz w:val="16"/>
              </w:rPr>
              <w:t>Charge nurse must take patients due to shortage.</w:t>
            </w:r>
          </w:p>
        </w:tc>
        <w:tc>
          <w:tcPr>
            <w:tcW w:type="dxa" w:w="4824"/>
            <w:vAlign w:val="center"/>
          </w:tcPr>
          <w:p>
            <w:r/>
            <w:r>
              <w:rPr>
                <w:b w:val="0"/>
                <w:sz w:val="16"/>
              </w:rPr>
              <w:t>Staffing concern occurred but assignments remained safe/manageable.</w:t>
            </w:r>
          </w:p>
        </w:tc>
      </w:tr>
      <w:tr>
        <w:trPr>
          <w:cantSplit/>
        </w:trPr>
        <w:tc>
          <w:tcPr>
            <w:tcW w:type="dxa" w:w="4824"/>
            <w:vAlign w:val="center"/>
          </w:tcPr>
          <w:p>
            <w:r/>
            <w:r>
              <w:rPr>
                <w:b w:val="0"/>
                <w:sz w:val="16"/>
              </w:rPr>
              <w:t>Admissions continue despite no safe absorption capacity.</w:t>
            </w:r>
          </w:p>
        </w:tc>
        <w:tc>
          <w:tcPr>
            <w:tcW w:type="dxa" w:w="4824"/>
            <w:vAlign w:val="center"/>
          </w:tcPr>
          <w:p>
            <w:r/>
            <w:r>
              <w:rPr>
                <w:b w:val="0"/>
                <w:sz w:val="16"/>
              </w:rPr>
              <w:t>Routine busy shift without escalation need.</w:t>
            </w:r>
          </w:p>
        </w:tc>
      </w:tr>
      <w:tr>
        <w:trPr>
          <w:cantSplit/>
        </w:trPr>
        <w:tc>
          <w:tcPr>
            <w:tcW w:type="dxa" w:w="4824"/>
            <w:vAlign w:val="center"/>
          </w:tcPr>
          <w:p>
            <w:r/>
            <w:r>
              <w:rPr>
                <w:b w:val="0"/>
                <w:sz w:val="16"/>
              </w:rPr>
              <w:t>Patients experience delayed care due to staffing limits.</w:t>
            </w:r>
          </w:p>
        </w:tc>
        <w:tc>
          <w:tcPr>
            <w:tcW w:type="dxa" w:w="4824"/>
            <w:vAlign w:val="center"/>
          </w:tcPr>
          <w:p>
            <w:r/>
            <w:r>
              <w:rPr>
                <w:b w:val="0"/>
                <w:sz w:val="16"/>
              </w:rPr>
              <w:t>Issue was documentation-only or informational.</w:t>
            </w:r>
          </w:p>
        </w:tc>
      </w:tr>
    </w:tbl>
    <w:p>
      <w:pPr>
        <w:pStyle w:val="Heading1"/>
      </w:pPr>
      <w:r>
        <w:t>8. Quick Scenario Test Examples</w:t>
      </w:r>
    </w:p>
    <w:tbl>
      <w:tblPr>
        <w:tblStyle w:val="TableGrid"/>
        <w:tblW w:type="auto" w:w="0"/>
        <w:jc w:val="center"/>
        <w:tblLook w:firstColumn="1" w:firstRow="1" w:lastColumn="0" w:lastRow="0" w:noHBand="0" w:noVBand="1" w:val="04A0"/>
        <w:tblBorders>
          <w:top w:val="single" w:sz="8" w:space="0" w:color="D9E2EC"/>
          <w:left w:val="single" w:sz="8" w:space="0" w:color="D9E2EC"/>
          <w:bottom w:val="single" w:sz="8" w:space="0" w:color="D9E2EC"/>
          <w:right w:val="single" w:sz="8" w:space="0" w:color="D9E2EC"/>
          <w:insideH w:val="single" w:sz="8" w:space="0" w:color="D9E2EC"/>
          <w:insideV w:val="single" w:sz="8" w:space="0" w:color="D9E2EC"/>
        </w:tblBorders>
      </w:tblPr>
      <w:tblGrid>
        <w:gridCol w:w="2592"/>
        <w:gridCol w:w="2592"/>
        <w:gridCol w:w="2592"/>
        <w:gridCol w:w="2592"/>
      </w:tblGrid>
      <w:tr>
        <w:trPr>
          <w:tblHeader w:val="true"/>
          <w:cantSplit/>
        </w:trPr>
        <w:tc>
          <w:tcPr>
            <w:tcW w:type="dxa" w:w="4608"/>
            <w:shd w:fill="1F4E79"/>
            <w:vAlign w:val="center"/>
          </w:tcPr>
          <w:p>
            <w:r/>
            <w:r>
              <w:rPr>
                <w:b/>
                <w:color w:val="FFFFFF"/>
                <w:sz w:val="17"/>
              </w:rPr>
              <w:t>Scenario</w:t>
            </w:r>
          </w:p>
        </w:tc>
        <w:tc>
          <w:tcPr>
            <w:tcW w:type="dxa" w:w="2232"/>
            <w:shd w:fill="1F4E79"/>
            <w:vAlign w:val="center"/>
          </w:tcPr>
          <w:p>
            <w:r/>
            <w:r>
              <w:rPr>
                <w:b/>
                <w:color w:val="FFFFFF"/>
                <w:sz w:val="17"/>
              </w:rPr>
              <w:t>Event Type</w:t>
            </w:r>
          </w:p>
        </w:tc>
        <w:tc>
          <w:tcPr>
            <w:tcW w:type="dxa" w:w="1440"/>
            <w:shd w:fill="1F4E79"/>
            <w:vAlign w:val="center"/>
          </w:tcPr>
          <w:p>
            <w:r/>
            <w:r>
              <w:rPr>
                <w:b/>
                <w:color w:val="FFFFFF"/>
                <w:sz w:val="17"/>
              </w:rPr>
              <w:t>Coverage Gap</w:t>
            </w:r>
          </w:p>
        </w:tc>
        <w:tc>
          <w:tcPr>
            <w:tcW w:type="dxa" w:w="1440"/>
            <w:shd w:fill="1F4E79"/>
            <w:vAlign w:val="center"/>
          </w:tcPr>
          <w:p>
            <w:r/>
            <w:r>
              <w:rPr>
                <w:b/>
                <w:color w:val="FFFFFF"/>
                <w:sz w:val="17"/>
              </w:rPr>
              <w:t>Level</w:t>
            </w:r>
          </w:p>
        </w:tc>
      </w:tr>
      <w:tr>
        <w:trPr>
          <w:cantSplit/>
        </w:trPr>
        <w:tc>
          <w:tcPr>
            <w:tcW w:type="dxa" w:w="4608"/>
            <w:vAlign w:val="center"/>
          </w:tcPr>
          <w:p>
            <w:r/>
            <w:r>
              <w:rPr>
                <w:b w:val="0"/>
                <w:sz w:val="16"/>
              </w:rPr>
              <w:t>One nurse calls off 30 minutes before night shift. No replacement is available and charge nurse must take patients.</w:t>
            </w:r>
          </w:p>
        </w:tc>
        <w:tc>
          <w:tcPr>
            <w:tcW w:type="dxa" w:w="2232"/>
            <w:vAlign w:val="center"/>
          </w:tcPr>
          <w:p>
            <w:r/>
            <w:r>
              <w:rPr>
                <w:b w:val="0"/>
                <w:sz w:val="16"/>
              </w:rPr>
              <w:t>Staff Loss</w:t>
            </w:r>
          </w:p>
        </w:tc>
        <w:tc>
          <w:tcPr>
            <w:tcW w:type="dxa" w:w="1440"/>
            <w:vAlign w:val="center"/>
          </w:tcPr>
          <w:p>
            <w:r/>
            <w:r>
              <w:rPr>
                <w:b w:val="0"/>
                <w:sz w:val="16"/>
              </w:rPr>
              <w:t>Yes</w:t>
            </w:r>
          </w:p>
        </w:tc>
        <w:tc>
          <w:tcPr>
            <w:tcW w:type="dxa" w:w="1440"/>
            <w:vAlign w:val="center"/>
          </w:tcPr>
          <w:p>
            <w:r/>
            <w:r>
              <w:rPr>
                <w:b w:val="0"/>
                <w:sz w:val="16"/>
              </w:rPr>
              <w:t>Level 2</w:t>
            </w:r>
          </w:p>
        </w:tc>
      </w:tr>
      <w:tr>
        <w:trPr>
          <w:cantSplit/>
        </w:trPr>
        <w:tc>
          <w:tcPr>
            <w:tcW w:type="dxa" w:w="4608"/>
            <w:vAlign w:val="center"/>
          </w:tcPr>
          <w:p>
            <w:r/>
            <w:r>
              <w:rPr>
                <w:b w:val="0"/>
                <w:sz w:val="16"/>
              </w:rPr>
              <w:t>Two admissions arrive within 45 minutes and both are assigned to the same nurse already caring for a confused fall-risk patient.</w:t>
            </w:r>
          </w:p>
        </w:tc>
        <w:tc>
          <w:tcPr>
            <w:tcW w:type="dxa" w:w="2232"/>
            <w:vAlign w:val="center"/>
          </w:tcPr>
          <w:p>
            <w:r>
              <w:t>Admission Surge (Secondary: Assignment Imbalance)</w:t>
            </w:r>
          </w:p>
        </w:tc>
        <w:tc>
          <w:tcPr>
            <w:tcW w:type="dxa" w:w="1440"/>
            <w:vAlign w:val="center"/>
          </w:tcPr>
          <w:p>
            <w:r/>
          </w:p>
        </w:tc>
        <w:tc>
          <w:tcPr>
            <w:tcW w:type="dxa" w:w="1440"/>
            <w:vAlign w:val="center"/>
          </w:tcPr>
          <w:p>
            <w:r/>
            <w:r>
              <w:rPr>
                <w:b w:val="0"/>
                <w:sz w:val="16"/>
              </w:rPr>
              <w:t>Level 2</w:t>
            </w:r>
          </w:p>
        </w:tc>
      </w:tr>
      <w:tr>
        <w:trPr>
          <w:cantSplit/>
        </w:trPr>
        <w:tc>
          <w:tcPr>
            <w:tcW w:type="dxa" w:w="4608"/>
            <w:vAlign w:val="center"/>
          </w:tcPr>
          <w:p>
            <w:r/>
            <w:r>
              <w:rPr>
                <w:b w:val="0"/>
                <w:sz w:val="16"/>
              </w:rPr>
              <w:t>A stable patient becomes confused and repeatedly tries to climb out of bed while no sitter or PCT is available.</w:t>
            </w:r>
          </w:p>
        </w:tc>
        <w:tc>
          <w:tcPr>
            <w:tcW w:type="dxa" w:w="2232"/>
            <w:vAlign w:val="center"/>
          </w:tcPr>
          <w:p>
            <w:r/>
            <w:r>
              <w:rPr>
                <w:b w:val="0"/>
                <w:sz w:val="16"/>
              </w:rPr>
              <w:t>Acuity Spike</w:t>
            </w:r>
          </w:p>
        </w:tc>
        <w:tc>
          <w:tcPr>
            <w:tcW w:type="dxa" w:w="1440"/>
            <w:vAlign w:val="center"/>
          </w:tcPr>
          <w:p>
            <w:r/>
            <w:r>
              <w:rPr>
                <w:b w:val="0"/>
                <w:sz w:val="16"/>
              </w:rPr>
              <w:t>Yes</w:t>
            </w:r>
          </w:p>
        </w:tc>
        <w:tc>
          <w:tcPr>
            <w:tcW w:type="dxa" w:w="1440"/>
            <w:vAlign w:val="center"/>
          </w:tcPr>
          <w:p>
            <w:r/>
            <w:r>
              <w:rPr>
                <w:b w:val="0"/>
                <w:sz w:val="16"/>
              </w:rPr>
              <w:t>Level 2 or 3</w:t>
            </w:r>
          </w:p>
        </w:tc>
      </w:tr>
      <w:tr>
        <w:trPr>
          <w:cantSplit/>
        </w:trPr>
        <w:tc>
          <w:tcPr>
            <w:tcW w:type="dxa" w:w="4608"/>
            <w:vAlign w:val="center"/>
          </w:tcPr>
          <w:p>
            <w:r/>
            <w:r>
              <w:rPr>
                <w:b w:val="0"/>
                <w:sz w:val="16"/>
              </w:rPr>
              <w:t>Three ED admissions are assigned to the unit, but no nurse can safely take another patient.</w:t>
            </w:r>
          </w:p>
        </w:tc>
        <w:tc>
          <w:tcPr>
            <w:tcW w:type="dxa" w:w="2232"/>
            <w:vAlign w:val="center"/>
          </w:tcPr>
          <w:p>
            <w:r/>
            <w:r>
              <w:rPr>
                <w:b w:val="0"/>
                <w:sz w:val="16"/>
              </w:rPr>
              <w:t>Admission Surge</w:t>
            </w:r>
          </w:p>
        </w:tc>
        <w:tc>
          <w:tcPr>
            <w:tcW w:type="dxa" w:w="1440"/>
            <w:vAlign w:val="center"/>
          </w:tcPr>
          <w:p>
            <w:r/>
            <w:r>
              <w:rPr>
                <w:b w:val="0"/>
                <w:sz w:val="16"/>
              </w:rPr>
              <w:t>Yes</w:t>
            </w:r>
          </w:p>
        </w:tc>
        <w:tc>
          <w:tcPr>
            <w:tcW w:type="dxa" w:w="1440"/>
            <w:vAlign w:val="center"/>
          </w:tcPr>
          <w:p>
            <w:r/>
            <w:r>
              <w:rPr>
                <w:b w:val="0"/>
                <w:sz w:val="16"/>
              </w:rPr>
              <w:t>Level 3</w:t>
            </w:r>
          </w:p>
        </w:tc>
      </w:tr>
      <w:tr>
        <w:trPr>
          <w:cantSplit/>
        </w:trPr>
        <w:tc>
          <w:tcPr>
            <w:tcW w:type="dxa" w:w="4608"/>
            <w:vAlign w:val="center"/>
          </w:tcPr>
          <w:p>
            <w:r/>
            <w:r>
              <w:rPr>
                <w:b w:val="0"/>
                <w:sz w:val="16"/>
              </w:rPr>
              <w:t>A discharge remains on the unit for 5 hours awaiting transportation while new admissions are pending.</w:t>
            </w:r>
          </w:p>
        </w:tc>
        <w:tc>
          <w:tcPr>
            <w:tcW w:type="dxa" w:w="2232"/>
            <w:vAlign w:val="center"/>
          </w:tcPr>
          <w:p>
            <w:r/>
            <w:r>
              <w:rPr>
                <w:b w:val="0"/>
                <w:sz w:val="16"/>
              </w:rPr>
              <w:t>Discharge Delay</w:t>
            </w:r>
          </w:p>
        </w:tc>
        <w:tc>
          <w:tcPr>
            <w:tcW w:type="dxa" w:w="1440"/>
            <w:vAlign w:val="center"/>
          </w:tcPr>
          <w:p>
            <w:r/>
            <w:r>
              <w:rPr>
                <w:b w:val="0"/>
                <w:sz w:val="16"/>
              </w:rPr>
              <w:t>Possible Yes</w:t>
            </w:r>
          </w:p>
        </w:tc>
        <w:tc>
          <w:tcPr>
            <w:tcW w:type="dxa" w:w="1440"/>
            <w:vAlign w:val="center"/>
          </w:tcPr>
          <w:p>
            <w:r/>
            <w:r>
              <w:rPr>
                <w:b w:val="0"/>
                <w:sz w:val="16"/>
              </w:rPr>
              <w:t>Level 1 or 2</w:t>
            </w:r>
          </w:p>
        </w:tc>
      </w:tr>
      <w:tr>
        <w:trPr>
          <w:cantSplit/>
        </w:trPr>
        <w:tc>
          <w:tcPr>
            <w:tcW w:type="dxa" w:w="4608"/>
            <w:vAlign w:val="center"/>
          </w:tcPr>
          <w:p>
            <w:r/>
            <w:r>
              <w:rPr>
                <w:b w:val="0"/>
                <w:sz w:val="16"/>
              </w:rPr>
              <w:t>The unit has no PCT, no break coverage, and nurses are missing scheduled breaks while admissions continue.</w:t>
            </w:r>
          </w:p>
        </w:tc>
        <w:tc>
          <w:tcPr>
            <w:tcW w:type="dxa" w:w="2232"/>
            <w:vAlign w:val="center"/>
          </w:tcPr>
          <w:p>
            <w:r/>
            <w:r>
              <w:rPr>
                <w:b w:val="0"/>
                <w:sz w:val="16"/>
              </w:rPr>
              <w:t>Resource Constraint</w:t>
            </w:r>
          </w:p>
        </w:tc>
        <w:tc>
          <w:tcPr>
            <w:tcW w:type="dxa" w:w="1440"/>
            <w:vAlign w:val="center"/>
          </w:tcPr>
          <w:p>
            <w:r/>
            <w:r>
              <w:rPr>
                <w:b w:val="0"/>
                <w:sz w:val="16"/>
              </w:rPr>
              <w:t>Yes</w:t>
            </w:r>
          </w:p>
        </w:tc>
        <w:tc>
          <w:tcPr>
            <w:tcW w:type="dxa" w:w="1440"/>
            <w:vAlign w:val="center"/>
          </w:tcPr>
          <w:p>
            <w:r/>
            <w:r>
              <w:rPr>
                <w:b w:val="0"/>
                <w:sz w:val="16"/>
              </w:rPr>
              <w:t>Level 2</w:t>
            </w:r>
          </w:p>
        </w:tc>
      </w:tr>
      <w:tr>
        <w:trPr>
          <w:cantSplit/>
        </w:trPr>
        <w:tc>
          <w:tcPr>
            <w:tcW w:type="dxa" w:w="4608"/>
            <w:vAlign w:val="center"/>
          </w:tcPr>
          <w:p>
            <w:r/>
            <w:r>
              <w:rPr>
                <w:b w:val="0"/>
                <w:sz w:val="16"/>
              </w:rPr>
              <w:t>A patient needs frequent reassessment, but the assigned nurse is managing two admissions and response is delayed.</w:t>
            </w:r>
          </w:p>
        </w:tc>
        <w:tc>
          <w:tcPr>
            <w:tcW w:type="dxa" w:w="2232"/>
            <w:vAlign w:val="center"/>
          </w:tcPr>
          <w:p>
            <w:r/>
            <w:r>
              <w:rPr>
                <w:b w:val="0"/>
                <w:sz w:val="16"/>
              </w:rPr>
              <w:t>Clinical Escalation Tied to Staffing</w:t>
            </w:r>
          </w:p>
        </w:tc>
        <w:tc>
          <w:tcPr>
            <w:tcW w:type="dxa" w:w="1440"/>
            <w:vAlign w:val="center"/>
          </w:tcPr>
          <w:p>
            <w:r/>
            <w:r>
              <w:rPr>
                <w:b w:val="0"/>
                <w:sz w:val="16"/>
              </w:rPr>
              <w:t>Yes</w:t>
            </w:r>
          </w:p>
        </w:tc>
        <w:tc>
          <w:tcPr>
            <w:tcW w:type="dxa" w:w="1440"/>
            <w:vAlign w:val="center"/>
          </w:tcPr>
          <w:p>
            <w:r/>
            <w:r>
              <w:rPr>
                <w:b w:val="0"/>
                <w:sz w:val="16"/>
              </w:rPr>
              <w:t>Level 3</w:t>
            </w:r>
          </w:p>
        </w:tc>
      </w:tr>
    </w:tbl>
    <w:p>
      <w:pPr>
        <w:pStyle w:val="Heading1"/>
      </w:pPr>
      <w:r>
        <w:t>9. Documentation Guardrails</w:t>
      </w:r>
    </w:p>
    <w:tbl>
      <w:tblPr>
        <w:tblStyle w:val="TableGrid"/>
        <w:tblW w:type="auto" w:w="0"/>
        <w:jc w:val="center"/>
        <w:tblLook w:firstColumn="1" w:firstRow="1" w:lastColumn="0" w:lastRow="0" w:noHBand="0" w:noVBand="1" w:val="04A0"/>
        <w:tblBorders>
          <w:top w:val="single" w:sz="8" w:space="0" w:color="D9E2EC"/>
          <w:left w:val="single" w:sz="8" w:space="0" w:color="D9E2EC"/>
          <w:bottom w:val="single" w:sz="8" w:space="0" w:color="D9E2EC"/>
          <w:right w:val="single" w:sz="8" w:space="0" w:color="D9E2EC"/>
          <w:insideH w:val="single" w:sz="8" w:space="0" w:color="D9E2EC"/>
          <w:insideV w:val="single" w:sz="8" w:space="0" w:color="D9E2EC"/>
        </w:tblBorders>
      </w:tblPr>
      <w:tblGrid>
        <w:gridCol w:w="5184"/>
        <w:gridCol w:w="5184"/>
      </w:tblGrid>
      <w:tr>
        <w:trPr>
          <w:tblHeader w:val="true"/>
          <w:cantSplit/>
        </w:trPr>
        <w:tc>
          <w:tcPr>
            <w:tcW w:type="dxa" w:w="2592"/>
            <w:shd w:fill="1F4E79"/>
            <w:vAlign w:val="center"/>
          </w:tcPr>
          <w:p>
            <w:r/>
            <w:r>
              <w:rPr>
                <w:b/>
                <w:color w:val="FFFFFF"/>
                <w:sz w:val="17"/>
              </w:rPr>
              <w:t>Guardrail</w:t>
            </w:r>
          </w:p>
        </w:tc>
        <w:tc>
          <w:tcPr>
            <w:tcW w:type="dxa" w:w="7200"/>
            <w:shd w:fill="1F4E79"/>
            <w:vAlign w:val="center"/>
          </w:tcPr>
          <w:p>
            <w:r/>
            <w:r>
              <w:rPr>
                <w:b/>
                <w:color w:val="FFFFFF"/>
                <w:sz w:val="17"/>
              </w:rPr>
              <w:t>Required Standard</w:t>
            </w:r>
          </w:p>
        </w:tc>
      </w:tr>
      <w:tr>
        <w:trPr>
          <w:cantSplit/>
        </w:trPr>
        <w:tc>
          <w:tcPr>
            <w:tcW w:type="dxa" w:w="2592"/>
            <w:vAlign w:val="center"/>
          </w:tcPr>
          <w:p>
            <w:r/>
            <w:r>
              <w:rPr>
                <w:b w:val="0"/>
                <w:sz w:val="16"/>
              </w:rPr>
              <w:t>Use operational language</w:t>
            </w:r>
          </w:p>
        </w:tc>
        <w:tc>
          <w:tcPr>
            <w:tcW w:type="dxa" w:w="7200"/>
            <w:vAlign w:val="center"/>
          </w:tcPr>
          <w:p>
            <w:r/>
            <w:r>
              <w:rPr>
                <w:b w:val="0"/>
                <w:sz w:val="16"/>
              </w:rPr>
              <w:t>Describe what happened, what response occurred, and whether the event stabilized.</w:t>
            </w:r>
          </w:p>
        </w:tc>
      </w:tr>
      <w:tr>
        <w:trPr>
          <w:cantSplit/>
        </w:trPr>
        <w:tc>
          <w:tcPr>
            <w:tcW w:type="dxa" w:w="2592"/>
            <w:vAlign w:val="center"/>
          </w:tcPr>
          <w:p>
            <w:r/>
            <w:r>
              <w:rPr>
                <w:b w:val="0"/>
                <w:sz w:val="16"/>
              </w:rPr>
              <w:t>Avoid blame</w:t>
            </w:r>
          </w:p>
        </w:tc>
        <w:tc>
          <w:tcPr>
            <w:tcW w:type="dxa" w:w="7200"/>
            <w:vAlign w:val="center"/>
          </w:tcPr>
          <w:p>
            <w:r/>
            <w:r>
              <w:rPr>
                <w:b w:val="0"/>
                <w:sz w:val="16"/>
              </w:rPr>
              <w:t>Do not document opinions about staff effort, attitude, competence, or motivation.</w:t>
            </w:r>
          </w:p>
        </w:tc>
      </w:tr>
      <w:tr>
        <w:trPr>
          <w:cantSplit/>
        </w:trPr>
        <w:tc>
          <w:tcPr>
            <w:tcW w:type="dxa" w:w="2592"/>
            <w:vAlign w:val="center"/>
          </w:tcPr>
          <w:p>
            <w:r/>
            <w:r>
              <w:rPr>
                <w:b w:val="0"/>
                <w:sz w:val="16"/>
              </w:rPr>
              <w:t>Avoid individual scoring</w:t>
            </w:r>
          </w:p>
        </w:tc>
        <w:tc>
          <w:tcPr>
            <w:tcW w:type="dxa" w:w="7200"/>
            <w:vAlign w:val="center"/>
          </w:tcPr>
          <w:p>
            <w:r/>
            <w:r>
              <w:rPr>
                <w:b w:val="0"/>
                <w:sz w:val="16"/>
              </w:rPr>
              <w:t>The classification system measures process reliability, not nurse performance.</w:t>
            </w:r>
          </w:p>
        </w:tc>
      </w:tr>
      <w:tr>
        <w:trPr>
          <w:cantSplit/>
        </w:trPr>
        <w:tc>
          <w:tcPr>
            <w:tcW w:type="dxa" w:w="2592"/>
            <w:vAlign w:val="center"/>
          </w:tcPr>
          <w:p>
            <w:r/>
            <w:r>
              <w:rPr>
                <w:b w:val="0"/>
                <w:sz w:val="16"/>
              </w:rPr>
              <w:t>Protect workflow burden</w:t>
            </w:r>
          </w:p>
        </w:tc>
        <w:tc>
          <w:tcPr>
            <w:tcW w:type="dxa" w:w="7200"/>
            <w:vAlign w:val="center"/>
          </w:tcPr>
          <w:p>
            <w:r/>
            <w:r>
              <w:rPr>
                <w:b w:val="0"/>
                <w:sz w:val="16"/>
              </w:rPr>
              <w:t>If classification takes more than 10 seconds, simplify the entry and clarify later.</w:t>
            </w:r>
          </w:p>
        </w:tc>
      </w:tr>
      <w:tr>
        <w:trPr>
          <w:cantSplit/>
        </w:trPr>
        <w:tc>
          <w:tcPr>
            <w:tcW w:type="dxa" w:w="2592"/>
            <w:vAlign w:val="center"/>
          </w:tcPr>
          <w:p>
            <w:r/>
            <w:r>
              <w:rPr>
                <w:b w:val="0"/>
                <w:sz w:val="16"/>
              </w:rPr>
              <w:t>Review Other category</w:t>
            </w:r>
          </w:p>
        </w:tc>
        <w:tc>
          <w:tcPr>
            <w:tcW w:type="dxa" w:w="7200"/>
            <w:vAlign w:val="center"/>
          </w:tcPr>
          <w:p>
            <w:r/>
            <w:r>
              <w:rPr>
                <w:b w:val="0"/>
                <w:sz w:val="16"/>
              </w:rPr>
              <w:t>If Other exceeds 10% of entries, the event taxonomy needs review.</w:t>
            </w:r>
          </w:p>
        </w:tc>
      </w:tr>
      <w:tr>
        <w:trPr>
          <w:cantSplit/>
        </w:trPr>
        <w:tc>
          <w:tcPr>
            <w:tcW w:type="dxa" w:w="2592"/>
            <w:vAlign w:val="center"/>
          </w:tcPr>
          <w:p>
            <w:r/>
            <w:r>
              <w:rPr>
                <w:b w:val="0"/>
                <w:sz w:val="16"/>
              </w:rPr>
              <w:t>Escalate unresolved patterns</w:t>
            </w:r>
          </w:p>
        </w:tc>
        <w:tc>
          <w:tcPr>
            <w:tcW w:type="dxa" w:w="7200"/>
            <w:vAlign w:val="center"/>
          </w:tcPr>
          <w:p>
            <w:r/>
            <w:r>
              <w:rPr>
                <w:b w:val="0"/>
                <w:sz w:val="16"/>
              </w:rPr>
              <w:t>Repeated Level 2 or Level 3 events should be reviewed in aggregate by leadership.</w:t>
            </w:r>
          </w:p>
        </w:tc>
      </w:tr>
    </w:tbl>
    <w:p>
      <w:pPr>
        <w:pStyle w:val="Heading1"/>
      </w:pPr>
      <w:r>
        <w:t>10. Locked v1 Decision Rules</w:t>
      </w:r>
    </w:p>
    <w:p>
      <w:pPr>
        <w:spacing w:line="252" w:lineRule="auto"/>
        <w:ind w:left="360"/>
      </w:pPr>
      <w:r>
        <w:rPr>
          <w:b/>
        </w:rPr>
        <w:t xml:space="preserve">• </w:t>
      </w:r>
      <w:r>
        <w:t>Classify the primary driver, not every contributing factor.</w:t>
      </w:r>
    </w:p>
    <w:p>
      <w:pPr>
        <w:spacing w:line="252" w:lineRule="auto"/>
        <w:ind w:left="360"/>
      </w:pPr>
      <w:r>
        <w:rPr>
          <w:b/>
        </w:rPr>
        <w:t xml:space="preserve">• </w:t>
      </w:r>
      <w:r>
        <w:t>Use the Secondary Factor field to capture secondary factors (Event Summary as fallback for narrative context).</w:t>
      </w:r>
    </w:p>
    <w:p>
      <w:pPr/>
      <w:r>
        <w:t>Admission-volume tie-breaker (locked v1.1): When admission activity is present alongside another operational instability, classify according to the condition that primarily changed staffing capacity or workload balance; record the other condition as a secondary factor when applicable. Application: when incoming admission volume causes or worsens an assignment imbalance, classify as Admission Surge (primary) with Assignment Imbalance as the secondary factor. Classify as Assignment Imbalance (primary) only when the imbalance exists independent of admission flow (e.g., acuity clustering, uneven distribution of existing patients).</w:t>
      </w:r>
    </w:p>
    <w:p>
      <w:pPr>
        <w:spacing w:line="252" w:lineRule="auto"/>
        <w:ind w:left="360"/>
      </w:pPr>
      <w:r>
        <w:rPr>
          <w:b/>
        </w:rPr>
        <w:t xml:space="preserve">• </w:t>
      </w:r>
      <w:r>
        <w:t>Mark Coverage Gap only when staffing or support capacity is insufficient for the workload demand.</w:t>
      </w:r>
    </w:p>
    <w:p>
      <w:pPr>
        <w:spacing w:line="252" w:lineRule="auto"/>
        <w:ind w:left="360"/>
      </w:pPr>
      <w:r>
        <w:rPr>
          <w:b/>
        </w:rPr>
        <w:t xml:space="preserve">• </w:t>
      </w:r>
      <w:r>
        <w:t>Use Level 1 for monitoring, Level 2 for active instability, and Level 3 for high-risk instability.</w:t>
      </w:r>
    </w:p>
    <w:p>
      <w:pPr>
        <w:spacing w:line="252" w:lineRule="auto"/>
        <w:ind w:left="360"/>
      </w:pPr>
      <w:r>
        <w:rPr>
          <w:b/>
        </w:rPr>
        <w:t xml:space="preserve">• </w:t>
      </w:r>
      <w:r>
        <w:t>Do not use the log for blame, discipline, incident reporting replacement, or individual staff evaluation.</w:t>
      </w:r>
    </w:p>
    <w:p>
      <w:pPr>
        <w:spacing w:line="252" w:lineRule="auto"/>
        <w:ind w:left="360"/>
      </w:pPr>
      <w:r>
        <w:rPr>
          <w:b/>
        </w:rPr>
        <w:t xml:space="preserve">• </w:t>
      </w:r>
      <w:r>
        <w:t>If a repeated concern requires a second escalation, mark the event as Re-escalated or create a linked follow-up entry depending on pilot workflow design.</w:t>
      </w:r>
    </w:p>
    <w:p>
      <w:pPr>
        <w:spacing w:line="252" w:lineRule="auto"/>
        <w:ind w:left="360"/>
      </w:pPr>
      <w:r>
        <w:rPr>
          <w:b/>
        </w:rPr>
        <w:t xml:space="preserve">• </w:t>
      </w:r>
      <w:r>
        <w:t>If the issue remains active at shift end, mark it as Not Resolved or Carried Over to Next Shift.</w:t>
      </w:r>
    </w:p>
    <w:p>
      <w:pPr>
        <w:pStyle w:val="Heading1"/>
      </w:pPr>
      <w:r>
        <w:t>Source Alignment Note</w:t>
      </w:r>
    </w:p>
    <w:p>
      <w:pPr>
        <w:spacing w:line="252" w:lineRule="auto"/>
      </w:pPr>
      <w:r>
        <w:t>This document builds from the Lott Workforce Systems working model, including the Workforce Response Reliability Pilot, Shift Response and Staffing Visibility Model, ERMS, pilot data dictionary, standard workflow, escalation levels, and non-punitive implementation guardrails. It is designed as Step 2 of the 10-part build sequence and should be paired with Step 1: Final Data Dictionary v1.</w:t>
      </w:r>
    </w:p>
    <w:p>
      <w:pPr>
        <w:spacing w:line="252" w:lineRule="auto"/>
      </w:pPr>
    </w:p>
    <w:p>
      <w:pPr>
        <w:spacing w:line="252" w:lineRule="auto"/>
        <w:jc w:val="center"/>
      </w:pPr>
      <w:r>
        <w:rPr>
          <w:b/>
          <w:color w:val="1F4E79"/>
        </w:rPr>
        <w:t>End of Step 2: Event Classification Decision Tree v1.1</w:t>
      </w:r>
    </w:p>
    <w:sectPr w:rsidR="00FC693F" w:rsidRPr="0006063C" w:rsidSect="00034616">
      <w:footerReference w:type="default" r:id="rId9"/>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Lott Workforce Systems | Event Classification Decision Tree v1 | Portfolio Draft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eastAsia="Aptos"/>
      <w:b/>
      <w:bCs/>
      <w:color w:val="1F4E79"/>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