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2194560" cy="14630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D019B4B-83DF-43D4-BF1E-3169DD4C67F7 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14630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after="40"/>
      </w:pPr>
      <w:r>
        <w:t>House Supervisor Quick Guide v1.1</w:t>
      </w:r>
    </w:p>
    <w:p>
      <w:pPr>
        <w:spacing w:after="160"/>
      </w:pPr>
      <w:r>
        <w:rPr>
          <w:rFonts w:ascii="Aptos" w:hAnsi="Aptos"/>
          <w:color w:val="6B7280"/>
          <w:sz w:val="22"/>
        </w:rPr>
        <w:t>90-Second Operational Event Capture Standard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EF3F8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</w:tcPr>
          <w:p>
            <w:r>
              <w:rPr>
                <w:rFonts w:ascii="Aptos" w:hAnsi="Aptos"/>
                <w:b/>
                <w:color w:val="17355A"/>
                <w:sz w:val="18"/>
              </w:rPr>
              <w:t>Purpose</w:t>
            </w:r>
          </w:p>
          <w:p>
            <w:pPr>
              <w:spacing w:after="0"/>
            </w:pPr>
            <w:r>
              <w:t>The goal is not to create another charting burden. The goal is to create a factual operational record of staffing instability, response timing, staffing redistribution, and recovery status.</w:t>
            </w:r>
          </w:p>
        </w:tc>
      </w:tr>
    </w:tbl>
    <w:p>
      <w:pPr>
        <w:spacing w:before="160" w:after="60"/>
      </w:pPr>
      <w:r>
        <w:rPr>
          <w:rFonts w:ascii="Aptos" w:hAnsi="Aptos"/>
          <w:b/>
          <w:color w:val="4B7F3A"/>
          <w:sz w:val="16"/>
        </w:rPr>
        <w:t>WHEN TO LOG AN EVENT</w:t>
      </w:r>
    </w:p>
    <w:p>
      <w:pPr>
        <w:spacing w:after="40"/>
        <w:ind w:left="259" w:hanging="259"/>
      </w:pPr>
      <w:r>
        <w:rPr>
          <w:b/>
          <w:color w:val="4B7F3A"/>
        </w:rPr>
        <w:t xml:space="preserve">• </w:t>
      </w:r>
      <w:r>
        <w:t>A nurse or support staff member is pulled from one unit to another.</w:t>
      </w:r>
    </w:p>
    <w:p>
      <w:pPr>
        <w:spacing w:after="40"/>
        <w:ind w:left="259" w:hanging="259"/>
      </w:pPr>
      <w:r>
        <w:rPr>
          <w:b/>
          <w:color w:val="4B7F3A"/>
        </w:rPr>
        <w:t xml:space="preserve">• </w:t>
      </w:r>
      <w:r>
        <w:t>A unit loses break coverage or support coverage.</w:t>
      </w:r>
    </w:p>
    <w:p>
      <w:pPr>
        <w:spacing w:after="40"/>
        <w:ind w:left="259" w:hanging="259"/>
      </w:pPr>
      <w:r>
        <w:rPr>
          <w:b/>
          <w:color w:val="4B7F3A"/>
        </w:rPr>
        <w:t xml:space="preserve">• </w:t>
      </w:r>
      <w:r>
        <w:t>Admissions exceed the unit’s ability to absorb them with current staffing.</w:t>
      </w:r>
    </w:p>
    <w:p>
      <w:pPr>
        <w:spacing w:after="40"/>
        <w:ind w:left="259" w:hanging="259"/>
      </w:pPr>
      <w:r>
        <w:rPr>
          <w:b/>
          <w:color w:val="4B7F3A"/>
        </w:rPr>
        <w:t xml:space="preserve">• </w:t>
      </w:r>
      <w:r>
        <w:t>Multiple units compete for the same float, resource nurse, or support staff.</w:t>
      </w:r>
    </w:p>
    <w:p>
      <w:pPr>
        <w:spacing w:after="40"/>
        <w:ind w:left="259" w:hanging="259"/>
      </w:pPr>
      <w:r>
        <w:rPr>
          <w:b/>
          <w:color w:val="4B7F3A"/>
        </w:rPr>
        <w:t xml:space="preserve">• </w:t>
      </w:r>
      <w:r>
        <w:t>The same issue requires repeated escalation.</w:t>
      </w:r>
    </w:p>
    <w:p>
      <w:pPr>
        <w:spacing w:after="40"/>
        <w:ind w:left="259" w:hanging="259"/>
      </w:pPr>
      <w:r>
        <w:rPr>
          <w:b/>
          <w:color w:val="4B7F3A"/>
        </w:rPr>
        <w:t xml:space="preserve">• </w:t>
      </w:r>
      <w:r>
        <w:t>A staffing concern remains unresolved near shift handoff.</w:t>
      </w:r>
    </w:p>
    <w:p>
      <w:pPr>
        <w:spacing w:after="40"/>
        <w:ind w:left="259" w:hanging="259"/>
      </w:pPr>
      <w:r>
        <w:rPr>
          <w:b/>
          <w:color w:val="4B7F3A"/>
        </w:rPr>
        <w:t xml:space="preserve">• </w:t>
      </w:r>
      <w:r>
        <w:t>Overtime, internal PRN, agency, or administrator escalation is considered.</w:t>
      </w:r>
    </w:p>
    <w:p>
      <w:pPr>
        <w:spacing w:before="160" w:after="60"/>
      </w:pPr>
      <w:r>
        <w:rPr>
          <w:rFonts w:ascii="Aptos" w:hAnsi="Aptos"/>
          <w:b/>
          <w:color w:val="4B7F3A"/>
          <w:sz w:val="16"/>
        </w:rPr>
        <w:t>DO NOT LOG</w:t>
      </w:r>
    </w:p>
    <w:p>
      <w:pPr>
        <w:spacing w:after="40"/>
        <w:ind w:left="259" w:hanging="259"/>
      </w:pPr>
      <w:r>
        <w:rPr>
          <w:b/>
          <w:color w:val="4B7F3A"/>
        </w:rPr>
        <w:t xml:space="preserve">• </w:t>
      </w:r>
      <w:r>
        <w:t>Routine workload without measurable strain or escalation.</w:t>
      </w:r>
    </w:p>
    <w:p>
      <w:pPr>
        <w:spacing w:after="40"/>
        <w:ind w:left="259" w:hanging="259"/>
      </w:pPr>
      <w:r>
        <w:rPr>
          <w:b/>
          <w:color w:val="4B7F3A"/>
        </w:rPr>
        <w:t xml:space="preserve">• </w:t>
      </w:r>
      <w:r>
        <w:t>Personality conflicts or general complaints without operational impact.</w:t>
      </w:r>
    </w:p>
    <w:p>
      <w:pPr>
        <w:spacing w:after="40"/>
        <w:ind w:left="259" w:hanging="259"/>
      </w:pPr>
      <w:r>
        <w:rPr>
          <w:b/>
          <w:color w:val="4B7F3A"/>
        </w:rPr>
        <w:t xml:space="preserve">• </w:t>
      </w:r>
      <w:r>
        <w:t>Individual performance concerns. Use existing leadership or HR processes.</w:t>
      </w:r>
    </w:p>
    <w:p>
      <w:pPr>
        <w:spacing w:after="40"/>
        <w:ind w:left="259" w:hanging="259"/>
      </w:pPr>
      <w:r>
        <w:rPr>
          <w:b/>
          <w:color w:val="4B7F3A"/>
        </w:rPr>
        <w:t xml:space="preserve">• </w:t>
      </w:r>
      <w:r>
        <w:t>Normal admission/discharge activity that is absorbed without strain.</w:t>
      </w:r>
    </w:p>
    <w:p>
      <w:r>
        <w:t>PILOT PRIVACY RULE (v1.1): no patient names, MRNs, room numbers, dates of birth, diagnoses, or other identifying patient information in the pilot log. No exceptions during the pilot.</w:t>
      </w:r>
    </w:p>
    <w:p>
      <w:pPr>
        <w:spacing w:before="160" w:after="60"/>
      </w:pPr>
      <w:r>
        <w:rPr>
          <w:rFonts w:ascii="Aptos" w:hAnsi="Aptos"/>
          <w:b/>
          <w:color w:val="4B7F3A"/>
          <w:sz w:val="16"/>
        </w:rPr>
        <w:t>ACKNOWLEDGMENT VS. ACTION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 w:val="true"/>
        </w:trPr>
        <w:tc>
          <w:tcPr>
            <w:tcW w:type="dxa" w:w="3456"/>
            <w:vAlign w:val="center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  <w:shd w:fill="17355A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  <w:t>Term</w:t>
            </w:r>
          </w:p>
        </w:tc>
        <w:tc>
          <w:tcPr>
            <w:tcW w:type="dxa" w:w="3456"/>
            <w:vAlign w:val="center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  <w:shd w:fill="17355A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  <w:t>Meaning</w:t>
            </w:r>
          </w:p>
        </w:tc>
        <w:tc>
          <w:tcPr>
            <w:tcW w:type="dxa" w:w="3456"/>
            <w:vAlign w:val="center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  <w:shd w:fill="17355A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  <w:t>Example</w:t>
            </w:r>
          </w:p>
        </w:tc>
      </w:tr>
      <w:tr>
        <w:tc>
          <w:tcPr>
            <w:tcW w:type="dxa" w:w="3456"/>
            <w:vAlign w:val="center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</w:tcPr>
          <w:p>
            <w:pPr>
              <w:spacing w:after="0"/>
            </w:pPr>
            <w:r>
              <w:rPr>
                <w:rFonts w:ascii="Aptos" w:hAnsi="Aptos"/>
                <w:sz w:val="17"/>
              </w:rPr>
              <w:t>Acknowledgment</w:t>
            </w:r>
          </w:p>
        </w:tc>
        <w:tc>
          <w:tcPr>
            <w:tcW w:type="dxa" w:w="3456"/>
            <w:vAlign w:val="center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</w:tcPr>
          <w:p>
            <w:pPr>
              <w:spacing w:after="0"/>
            </w:pPr>
            <w:r>
              <w:rPr>
                <w:rFonts w:ascii="Aptos" w:hAnsi="Aptos"/>
                <w:sz w:val="17"/>
              </w:rPr>
              <w:t>Concern received and understood</w:t>
            </w:r>
          </w:p>
        </w:tc>
        <w:tc>
          <w:tcPr>
            <w:tcW w:type="dxa" w:w="3456"/>
            <w:vAlign w:val="center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</w:tcPr>
          <w:p>
            <w:pPr>
              <w:spacing w:after="0"/>
            </w:pPr>
            <w:r>
              <w:rPr>
                <w:rFonts w:ascii="Aptos" w:hAnsi="Aptos"/>
                <w:sz w:val="17"/>
              </w:rPr>
              <w:t>“I see the issue and am reviewing options.”</w:t>
            </w:r>
          </w:p>
        </w:tc>
      </w:tr>
      <w:tr>
        <w:tc>
          <w:tcPr>
            <w:tcW w:type="dxa" w:w="3456"/>
            <w:vAlign w:val="center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</w:tcPr>
          <w:p>
            <w:pPr>
              <w:spacing w:after="0"/>
            </w:pPr>
            <w:r>
              <w:rPr>
                <w:rFonts w:ascii="Aptos" w:hAnsi="Aptos"/>
                <w:sz w:val="17"/>
              </w:rPr>
              <w:t>Action</w:t>
            </w:r>
          </w:p>
        </w:tc>
        <w:tc>
          <w:tcPr>
            <w:tcW w:type="dxa" w:w="3456"/>
            <w:vAlign w:val="center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</w:tcPr>
          <w:p>
            <w:pPr>
              <w:spacing w:after="0"/>
            </w:pPr>
            <w:r>
              <w:rPr>
                <w:rFonts w:ascii="Aptos" w:hAnsi="Aptos"/>
                <w:sz w:val="17"/>
              </w:rPr>
              <w:t>Concrete operational response begins</w:t>
            </w:r>
          </w:p>
        </w:tc>
        <w:tc>
          <w:tcPr>
            <w:tcW w:type="dxa" w:w="3456"/>
            <w:vAlign w:val="center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</w:tcPr>
          <w:p>
            <w:pPr>
              <w:spacing w:after="0"/>
            </w:pPr>
            <w:r>
              <w:rPr>
                <w:rFonts w:ascii="Aptos" w:hAnsi="Aptos"/>
                <w:sz w:val="17"/>
              </w:rPr>
              <w:t>Resource nurse assigned; admission paced; overtime approved</w:t>
            </w:r>
          </w:p>
        </w:tc>
      </w:tr>
      <w:tr>
        <w:tc>
          <w:tcPr>
            <w:tcW w:type="dxa" w:w="3456"/>
            <w:vAlign w:val="center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</w:tcPr>
          <w:p>
            <w:pPr>
              <w:spacing w:after="0"/>
            </w:pPr>
            <w:r>
              <w:rPr>
                <w:rFonts w:ascii="Aptos" w:hAnsi="Aptos"/>
                <w:sz w:val="17"/>
              </w:rPr>
              <w:t>Resolution</w:t>
            </w:r>
          </w:p>
        </w:tc>
        <w:tc>
          <w:tcPr>
            <w:tcW w:type="dxa" w:w="3456"/>
            <w:vAlign w:val="center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</w:tcPr>
          <w:p>
            <w:pPr>
              <w:spacing w:after="0"/>
            </w:pPr>
            <w:r>
              <w:rPr>
                <w:rFonts w:ascii="Aptos" w:hAnsi="Aptos"/>
                <w:sz w:val="17"/>
              </w:rPr>
              <w:t>Event status is closed or carried forward</w:t>
            </w:r>
          </w:p>
        </w:tc>
        <w:tc>
          <w:tcPr>
            <w:tcW w:type="dxa" w:w="3456"/>
            <w:vAlign w:val="center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</w:tcPr>
          <w:p>
            <w:pPr>
              <w:spacing w:after="0"/>
            </w:pPr>
            <w:r>
              <w:rPr>
                <w:rFonts w:ascii="Aptos" w:hAnsi="Aptos"/>
                <w:sz w:val="17"/>
              </w:rPr>
              <w:t>Fully stabilized, partially stabilized, unresolved, or re-escalated</w:t>
            </w:r>
          </w:p>
        </w:tc>
      </w:tr>
    </w:tbl>
    <w:p>
      <w:r>
        <w:br w:type="page"/>
      </w:r>
    </w:p>
    <w:p>
      <w:pPr>
        <w:spacing w:before="160" w:after="60"/>
      </w:pPr>
      <w:r>
        <w:rPr>
          <w:rFonts w:ascii="Aptos" w:hAnsi="Aptos"/>
          <w:b/>
          <w:color w:val="4B7F3A"/>
          <w:sz w:val="16"/>
        </w:rPr>
        <w:t>90-SECOND CAPTURE FIELDS</w:t>
      </w:r>
    </w:p>
    <w:p>
      <w:pPr>
        <w:spacing w:after="40"/>
        <w:ind w:left="259" w:hanging="259"/>
      </w:pPr>
      <w:r>
        <w:rPr>
          <w:b/>
          <w:color w:val="4B7F3A"/>
        </w:rPr>
        <w:t xml:space="preserve">• </w:t>
      </w:r>
      <w:r>
        <w:t>Unit affected</w:t>
      </w:r>
    </w:p>
    <w:p>
      <w:pPr>
        <w:spacing w:after="40"/>
        <w:ind w:left="259" w:hanging="259"/>
      </w:pPr>
      <w:r>
        <w:rPr>
          <w:b/>
          <w:color w:val="4B7F3A"/>
        </w:rPr>
        <w:t xml:space="preserve">• </w:t>
      </w:r>
      <w:r>
        <w:t>Event type</w:t>
      </w:r>
    </w:p>
    <w:p>
      <w:pPr>
        <w:spacing w:after="40"/>
        <w:ind w:left="259" w:hanging="259"/>
      </w:pPr>
      <w:r>
        <w:rPr>
          <w:b/>
          <w:color w:val="4B7F3A"/>
        </w:rPr>
        <w:t xml:space="preserve">• </w:t>
      </w:r>
      <w:r>
        <w:t>Severity level</w:t>
      </w:r>
    </w:p>
    <w:p>
      <w:pPr>
        <w:spacing w:after="40"/>
        <w:ind w:left="259" w:hanging="259"/>
      </w:pPr>
      <w:r>
        <w:rPr>
          <w:b/>
          <w:color w:val="4B7F3A"/>
        </w:rPr>
        <w:t xml:space="preserve">• </w:t>
      </w:r>
      <w:r>
        <w:t>Event start time</w:t>
      </w:r>
    </w:p>
    <w:p>
      <w:pPr>
        <w:spacing w:after="40"/>
        <w:ind w:left="259" w:hanging="259"/>
      </w:pPr>
      <w:r>
        <w:rPr>
          <w:b/>
          <w:color w:val="4B7F3A"/>
        </w:rPr>
        <w:t xml:space="preserve">• </w:t>
      </w:r>
      <w:r>
        <w:t>Acknowledgment time</w:t>
      </w:r>
    </w:p>
    <w:p>
      <w:pPr>
        <w:spacing w:after="40"/>
        <w:ind w:left="259" w:hanging="259"/>
      </w:pPr>
      <w:r>
        <w:rPr>
          <w:b/>
          <w:color w:val="4B7F3A"/>
        </w:rPr>
        <w:t xml:space="preserve">• </w:t>
      </w:r>
      <w:r>
        <w:t>Action time if action occurred</w:t>
      </w:r>
    </w:p>
    <w:p>
      <w:pPr>
        <w:spacing w:after="40"/>
        <w:ind w:left="259" w:hanging="259"/>
      </w:pPr>
      <w:r>
        <w:rPr>
          <w:b/>
          <w:color w:val="4B7F3A"/>
        </w:rPr>
        <w:t xml:space="preserve">• </w:t>
      </w:r>
      <w:r>
        <w:t>Resolution status</w:t>
      </w:r>
    </w:p>
    <w:p>
      <w:pPr>
        <w:spacing w:after="40"/>
        <w:ind w:left="259" w:hanging="259"/>
      </w:pPr>
      <w:r>
        <w:rPr>
          <w:b/>
          <w:color w:val="4B7F3A"/>
        </w:rPr>
        <w:t xml:space="preserve">• </w:t>
      </w:r>
      <w:r>
        <w:t>Staffing redistribution yes/no</w:t>
      </w:r>
    </w:p>
    <w:p>
      <w:pPr>
        <w:spacing w:after="40"/>
        <w:ind w:left="259" w:hanging="259"/>
      </w:pPr>
      <w:r>
        <w:rPr>
          <w:b/>
          <w:color w:val="4B7F3A"/>
        </w:rPr>
        <w:t xml:space="preserve">• </w:t>
      </w:r>
      <w:r>
        <w:t>Donor and receiving unit if applicable</w:t>
      </w:r>
    </w:p>
    <w:p>
      <w:pPr>
        <w:spacing w:after="40"/>
        <w:ind w:left="259" w:hanging="259"/>
      </w:pPr>
      <w:r>
        <w:rPr>
          <w:b/>
          <w:color w:val="4B7F3A"/>
        </w:rPr>
        <w:t xml:space="preserve">• </w:t>
      </w:r>
      <w:r>
        <w:t>Brief neutral note</w:t>
      </w:r>
    </w:p>
    <w:p>
      <w:pPr>
        <w:spacing w:before="160" w:after="60"/>
      </w:pPr>
      <w:r>
        <w:rPr>
          <w:rFonts w:ascii="Aptos" w:hAnsi="Aptos"/>
          <w:b/>
          <w:color w:val="4B7F3A"/>
          <w:sz w:val="16"/>
        </w:rPr>
        <w:t>SEVERITY LEVELS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 w:val="true"/>
        </w:trPr>
        <w:tc>
          <w:tcPr>
            <w:tcW w:type="dxa" w:w="3456"/>
            <w:vAlign w:val="center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  <w:shd w:fill="17355A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  <w:t>Level</w:t>
            </w:r>
          </w:p>
        </w:tc>
        <w:tc>
          <w:tcPr>
            <w:tcW w:type="dxa" w:w="3456"/>
            <w:vAlign w:val="center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  <w:shd w:fill="17355A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  <w:t>Meaning</w:t>
            </w:r>
          </w:p>
        </w:tc>
        <w:tc>
          <w:tcPr>
            <w:tcW w:type="dxa" w:w="3456"/>
            <w:vAlign w:val="center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  <w:shd w:fill="17355A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  <w:t>Expected response</w:t>
            </w:r>
          </w:p>
        </w:tc>
      </w:tr>
      <w:tr>
        <w:tc>
          <w:tcPr>
            <w:tcW w:type="dxa" w:w="3456"/>
            <w:vAlign w:val="center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</w:tcPr>
          <w:p>
            <w:pPr>
              <w:spacing w:after="0"/>
            </w:pPr>
            <w:r>
              <w:rPr>
                <w:rFonts w:ascii="Aptos" w:hAnsi="Aptos"/>
                <w:sz w:val="17"/>
              </w:rPr>
              <w:t>Level 1 - Watch</w:t>
            </w:r>
          </w:p>
        </w:tc>
        <w:tc>
          <w:tcPr>
            <w:tcW w:type="dxa" w:w="3456"/>
            <w:vAlign w:val="center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</w:tcPr>
          <w:p>
            <w:pPr>
              <w:spacing w:after="0"/>
            </w:pPr>
            <w:r>
              <w:rPr>
                <w:rFonts w:ascii="Aptos" w:hAnsi="Aptos"/>
                <w:sz w:val="17"/>
              </w:rPr>
              <w:t>Early strain; unit functional but monitor</w:t>
            </w:r>
          </w:p>
        </w:tc>
        <w:tc>
          <w:tcPr>
            <w:tcW w:type="dxa" w:w="3456"/>
            <w:vAlign w:val="center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</w:tcPr>
          <w:p>
            <w:pPr>
              <w:spacing w:after="0"/>
            </w:pPr>
            <w:r>
              <w:rPr>
                <w:rFonts w:ascii="Aptos" w:hAnsi="Aptos"/>
                <w:sz w:val="17"/>
              </w:rPr>
              <w:t>Reassess during shift</w:t>
            </w:r>
          </w:p>
        </w:tc>
      </w:tr>
      <w:tr>
        <w:tc>
          <w:tcPr>
            <w:tcW w:type="dxa" w:w="3456"/>
            <w:vAlign w:val="center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</w:tcPr>
          <w:p>
            <w:pPr>
              <w:spacing w:after="0"/>
            </w:pPr>
            <w:r>
              <w:rPr>
                <w:rFonts w:ascii="Aptos" w:hAnsi="Aptos"/>
                <w:sz w:val="17"/>
              </w:rPr>
              <w:t>Level 2 - Active Strain</w:t>
            </w:r>
          </w:p>
        </w:tc>
        <w:tc>
          <w:tcPr>
            <w:tcW w:type="dxa" w:w="3456"/>
            <w:vAlign w:val="center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</w:tcPr>
          <w:p>
            <w:pPr>
              <w:spacing w:after="0"/>
            </w:pPr>
            <w:r>
              <w:rPr>
                <w:rFonts w:ascii="Aptos" w:hAnsi="Aptos"/>
                <w:sz w:val="17"/>
              </w:rPr>
              <w:t>Operational action or staffing review needed</w:t>
            </w:r>
          </w:p>
        </w:tc>
        <w:tc>
          <w:tcPr>
            <w:tcW w:type="dxa" w:w="3456"/>
            <w:vAlign w:val="center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</w:tcPr>
          <w:p>
            <w:pPr>
              <w:spacing w:after="0"/>
            </w:pPr>
            <w:r>
              <w:rPr>
                <w:rFonts w:ascii="Aptos" w:hAnsi="Aptos"/>
                <w:sz w:val="17"/>
              </w:rPr>
              <w:t>Acknowledge within 15 minutes; action within 30-60 minutes</w:t>
            </w:r>
          </w:p>
        </w:tc>
      </w:tr>
      <w:tr>
        <w:tc>
          <w:tcPr>
            <w:tcW w:type="dxa" w:w="3456"/>
            <w:vAlign w:val="center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</w:tcPr>
          <w:p>
            <w:pPr>
              <w:spacing w:after="0"/>
            </w:pPr>
            <w:r>
              <w:rPr>
                <w:rFonts w:ascii="Aptos" w:hAnsi="Aptos"/>
                <w:sz w:val="17"/>
              </w:rPr>
              <w:t>Level 3 - Critical Instability</w:t>
            </w:r>
          </w:p>
        </w:tc>
        <w:tc>
          <w:tcPr>
            <w:tcW w:type="dxa" w:w="3456"/>
            <w:vAlign w:val="center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</w:tcPr>
          <w:p>
            <w:pPr>
              <w:spacing w:after="0"/>
            </w:pPr>
            <w:r>
              <w:rPr>
                <w:rFonts w:ascii="Aptos" w:hAnsi="Aptos"/>
                <w:sz w:val="17"/>
              </w:rPr>
              <w:t>Expected care flow cannot be maintained</w:t>
            </w:r>
          </w:p>
        </w:tc>
        <w:tc>
          <w:tcPr>
            <w:tcW w:type="dxa" w:w="3456"/>
            <w:vAlign w:val="center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</w:tcPr>
          <w:p>
            <w:pPr>
              <w:spacing w:after="0"/>
            </w:pPr>
            <w:r>
              <w:rPr>
                <w:rFonts w:ascii="Aptos" w:hAnsi="Aptos"/>
                <w:sz w:val="17"/>
              </w:rPr>
              <w:t>Immediate action or administrator escalation</w:t>
            </w:r>
          </w:p>
        </w:tc>
      </w:tr>
    </w:tbl>
    <w:p>
      <w:pPr>
        <w:spacing w:before="160" w:after="60"/>
      </w:pPr>
      <w:r>
        <w:rPr>
          <w:rFonts w:ascii="Aptos" w:hAnsi="Aptos"/>
          <w:b/>
          <w:color w:val="4B7F3A"/>
          <w:sz w:val="16"/>
        </w:rPr>
        <w:t>NEUTRAL NOTE EXAMPLES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EF3F8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</w:tcPr>
          <w:p>
            <w:r>
              <w:rPr>
                <w:rFonts w:ascii="Aptos" w:hAnsi="Aptos"/>
                <w:b/>
                <w:color w:val="17355A"/>
                <w:sz w:val="18"/>
              </w:rPr>
              <w:t>Use</w:t>
            </w:r>
          </w:p>
          <w:p>
            <w:pPr>
              <w:spacing w:after="0"/>
            </w:pPr>
            <w:r>
              <w:t>Telemetry RN pulled to ICU at 1417. Telemetry had two pending admissions and no break coverage. Charge RN reported strain at 1450. Resource nurse assigned at 1535. Event partially stabilized.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3F0"/>
            <w:tcBorders>
              <w:top w:val="single" w:sz="8" w:space="0" w:color="D9E2EC"/>
              <w:left w:val="single" w:sz="8" w:space="0" w:color="D9E2EC"/>
              <w:bottom w:val="single" w:sz="8" w:space="0" w:color="D9E2EC"/>
              <w:right w:val="single" w:sz="8" w:space="0" w:color="D9E2EC"/>
            </w:tcBorders>
          </w:tcPr>
          <w:p>
            <w:r>
              <w:rPr>
                <w:rFonts w:ascii="Aptos" w:hAnsi="Aptos"/>
                <w:b/>
                <w:color w:val="17355A"/>
                <w:sz w:val="18"/>
              </w:rPr>
              <w:t>Avoid</w:t>
            </w:r>
          </w:p>
          <w:p>
            <w:pPr>
              <w:spacing w:after="0"/>
            </w:pPr>
            <w:r>
              <w:t>Avoid: “Unit refused to help,” “charge nurse failed,” or “staff complained.”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792" w:right="936" w:bottom="792" w:left="936" w:header="720" w:footer="720" w:gutter="0"/>
      <w:cols w:space="720"/>
      <w:docGrid w:linePitch="360"/>
    </w:sectPr>
    <w:p>
      <w:r>
        <w:t>CARRIED-OVER OWNERSHIP (v1.1): the house supervisor is the primary system owner; the charge nurse is the local signal and validation partner. The incoming shift explicitly accepts ownership of every carried-over event and pending escalation before handoff is complete.</w:t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/>
        <w:color w:val="6B7280"/>
        <w:sz w:val="16"/>
      </w:rPr>
      <w:t>Confidential pilot discussion document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 Display" w:hAnsi="Aptos Display"/>
        <w:b/>
        <w:color w:val="17355A"/>
        <w:sz w:val="16"/>
      </w:rPr>
      <w:t>LOTT WORKFORCE SYSTEMS</w:t>
    </w:r>
    <w:r>
      <w:rPr>
        <w:rFonts w:ascii="Aptos" w:hAnsi="Aptos"/>
        <w:color w:val="6B7280"/>
        <w:sz w:val="16"/>
      </w:rPr>
      <w:t xml:space="preserve">  |  HOUSE SUPERVISOR QUICK GUIDE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 w:eastAsia="Aptos Display"/>
      <w:b/>
      <w:bCs/>
      <w:color w:val="17355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 w:eastAsia="Aptos"/>
      <w:b/>
      <w:bCs/>
      <w:color w:val="17355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 w:eastAsia="Aptos"/>
      <w:b/>
      <w:bCs/>
      <w:color w:val="17355A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 w:eastAsia="Aptos Display"/>
      <w:b/>
      <w:color w:val="17355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WSLabel">
    <w:name w:val="LWS Label"/>
    <w:rPr>
      <w:rFonts w:ascii="Aptos" w:hAnsi="Aptos"/>
      <w:b/>
      <w:color w:val="4B7F3A"/>
      <w:sz w:val="16"/>
    </w:rPr>
  </w:style>
  <w:style w:type="paragraph" w:customStyle="1" w:styleId="LWSSmall">
    <w:name w:val="LWS Small"/>
    <w:rPr>
      <w:rFonts w:ascii="Aptos" w:hAnsi="Aptos"/>
      <w:color w:val="6B7280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